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EEF7" w14:textId="6190961B" w:rsidR="00453E0E" w:rsidRPr="00A728A6" w:rsidRDefault="00BC5778" w:rsidP="00C24500">
      <w:pPr>
        <w:pStyle w:val="Heading3"/>
        <w:spacing w:before="0" w:after="0" w:line="276" w:lineRule="auto"/>
        <w:rPr>
          <w:bCs w:val="0"/>
          <w:lang w:eastAsia="en-AU"/>
        </w:rPr>
      </w:pPr>
      <w:r w:rsidRPr="00A728A6">
        <w:rPr>
          <w:noProof/>
        </w:rPr>
        <w:drawing>
          <wp:anchor distT="0" distB="540385" distL="114300" distR="114300" simplePos="0" relativeHeight="251658240" behindDoc="0" locked="0" layoutInCell="1" allowOverlap="1" wp14:anchorId="614DBC24" wp14:editId="3969FD36">
            <wp:simplePos x="0" y="0"/>
            <wp:positionH relativeFrom="page">
              <wp:align>left</wp:align>
            </wp:positionH>
            <wp:positionV relativeFrom="page">
              <wp:posOffset>720090</wp:posOffset>
            </wp:positionV>
            <wp:extent cx="7557770" cy="2095500"/>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4 Fact sheet_Portrait_Blo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8747" cy="2098544"/>
                    </a:xfrm>
                    <a:prstGeom prst="rect">
                      <a:avLst/>
                    </a:prstGeom>
                  </pic:spPr>
                </pic:pic>
              </a:graphicData>
            </a:graphic>
            <wp14:sizeRelH relativeFrom="margin">
              <wp14:pctWidth>0</wp14:pctWidth>
            </wp14:sizeRelH>
            <wp14:sizeRelV relativeFrom="margin">
              <wp14:pctHeight>0</wp14:pctHeight>
            </wp14:sizeRelV>
          </wp:anchor>
        </w:drawing>
      </w:r>
      <w:r w:rsidR="001325CD" w:rsidRPr="00A728A6">
        <w:rPr>
          <w:noProof/>
        </w:rPr>
        <mc:AlternateContent>
          <mc:Choice Requires="wps">
            <w:drawing>
              <wp:anchor distT="0" distB="0" distL="114300" distR="114300" simplePos="0" relativeHeight="251659264" behindDoc="0" locked="0" layoutInCell="1" allowOverlap="1" wp14:anchorId="55CF246A" wp14:editId="64FBF138">
                <wp:simplePos x="0" y="0"/>
                <wp:positionH relativeFrom="margin">
                  <wp:align>center</wp:align>
                </wp:positionH>
                <wp:positionV relativeFrom="paragraph">
                  <wp:posOffset>-8255</wp:posOffset>
                </wp:positionV>
                <wp:extent cx="4295140" cy="14782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4295140" cy="1478280"/>
                        </a:xfrm>
                        <a:prstGeom prst="rect">
                          <a:avLst/>
                        </a:prstGeom>
                        <a:noFill/>
                        <a:ln w="6350">
                          <a:noFill/>
                        </a:ln>
                      </wps:spPr>
                      <wps:txbx>
                        <w:txbxContent>
                          <w:p w14:paraId="6A0E94CA" w14:textId="101D4467" w:rsidR="00DC34AF" w:rsidRPr="00DC34AF" w:rsidRDefault="00210BCD" w:rsidP="00DC34AF">
                            <w:pPr>
                              <w:pStyle w:val="Title1"/>
                              <w:rPr>
                                <w:color w:val="FFFFFF" w:themeColor="background1"/>
                              </w:rPr>
                            </w:pPr>
                            <w:r>
                              <w:rPr>
                                <w:color w:val="FFFFFF" w:themeColor="background1"/>
                              </w:rPr>
                              <w:t>QKF governance and assurance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F246A" id="_x0000_t202" coordsize="21600,21600" o:spt="202" path="m,l,21600r21600,l21600,xe">
                <v:stroke joinstyle="miter"/>
                <v:path gradientshapeok="t" o:connecttype="rect"/>
              </v:shapetype>
              <v:shape id="Text Box 5" o:spid="_x0000_s1026" type="#_x0000_t202" style="position:absolute;margin-left:0;margin-top:-.65pt;width:338.2pt;height:116.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" filled="f" stroked="f" strokeweight=".5pt">
                <v:textbox>
                  <w:txbxContent>
                    <w:p w14:paraId="6A0E94CA" w14:textId="101D4467" w:rsidR="00DC34AF" w:rsidRPr="00DC34AF" w:rsidRDefault="00210BCD" w:rsidP="00DC34AF">
                      <w:pPr>
                        <w:pStyle w:val="Title1"/>
                        <w:rPr>
                          <w:color w:val="FFFFFF" w:themeColor="background1"/>
                        </w:rPr>
                      </w:pPr>
                      <w:r>
                        <w:rPr>
                          <w:color w:val="FFFFFF" w:themeColor="background1"/>
                        </w:rPr>
                        <w:t>QKF governance and assurance</w:t>
                      </w:r>
                    </w:p>
                  </w:txbxContent>
                </v:textbox>
                <w10:wrap anchorx="margin"/>
              </v:shape>
            </w:pict>
          </mc:Fallback>
        </mc:AlternateContent>
      </w:r>
      <w:r w:rsidR="001B67C4" w:rsidRPr="00A728A6">
        <w:rPr>
          <w:noProof/>
        </w:rPr>
        <mc:AlternateContent>
          <mc:Choice Requires="wps">
            <w:drawing>
              <wp:anchor distT="0" distB="0" distL="114300" distR="114300" simplePos="0" relativeHeight="251661312" behindDoc="0" locked="0" layoutInCell="1" allowOverlap="1" wp14:anchorId="62FDD008" wp14:editId="146E00A4">
                <wp:simplePos x="0" y="0"/>
                <wp:positionH relativeFrom="column">
                  <wp:posOffset>1926737</wp:posOffset>
                </wp:positionH>
                <wp:positionV relativeFrom="paragraph">
                  <wp:posOffset>-982345</wp:posOffset>
                </wp:positionV>
                <wp:extent cx="4296668" cy="306056"/>
                <wp:effectExtent l="0" t="0" r="0" b="0"/>
                <wp:wrapNone/>
                <wp:docPr id="6" name="Text Box 6"/>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2C9B44A5" w14:textId="420DA7A9" w:rsidR="001B67C4" w:rsidRPr="00A842C4" w:rsidRDefault="00210BCD" w:rsidP="001B67C4">
                            <w:pPr>
                              <w:jc w:val="right"/>
                              <w:rPr>
                                <w:color w:val="FFFFFF" w:themeColor="light1"/>
                                <w:sz w:val="20"/>
                                <w:szCs w:val="20"/>
                              </w:rPr>
                            </w:pPr>
                            <w:r>
                              <w:rPr>
                                <w:color w:val="FFFFFF" w:themeColor="light1"/>
                                <w:sz w:val="20"/>
                                <w:szCs w:val="20"/>
                              </w:rPr>
                              <w:t>Queensland Kindergarten Funding (QKF)</w:t>
                            </w:r>
                          </w:p>
                          <w:p w14:paraId="5BA542AF" w14:textId="77777777" w:rsidR="001B67C4" w:rsidRPr="00A842C4" w:rsidRDefault="001B67C4" w:rsidP="001B67C4">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DD008" id="Text Box 6" o:spid="_x0000_s1027" type="#_x0000_t202" style="position:absolute;margin-left:151.7pt;margin-top:-77.35pt;width:338.3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" filled="f" stroked="f" strokeweight=".5pt">
                <v:textbox inset="0,0,6.99997mm,0">
                  <w:txbxContent>
                    <w:p w14:paraId="2C9B44A5" w14:textId="420DA7A9" w:rsidR="001B67C4" w:rsidRPr="00A842C4" w:rsidRDefault="00210BCD" w:rsidP="001B67C4">
                      <w:pPr>
                        <w:jc w:val="right"/>
                        <w:rPr>
                          <w:color w:val="FFFFFF" w:themeColor="light1"/>
                          <w:sz w:val="20"/>
                          <w:szCs w:val="20"/>
                        </w:rPr>
                      </w:pPr>
                      <w:r>
                        <w:rPr>
                          <w:color w:val="FFFFFF" w:themeColor="light1"/>
                          <w:sz w:val="20"/>
                          <w:szCs w:val="20"/>
                        </w:rPr>
                        <w:t>Queensland Kindergarten Funding (QKF)</w:t>
                      </w:r>
                    </w:p>
                    <w:p w14:paraId="5BA542AF" w14:textId="77777777" w:rsidR="001B67C4" w:rsidRPr="00A842C4" w:rsidRDefault="001B67C4" w:rsidP="001B67C4">
                      <w:pPr>
                        <w:rPr>
                          <w:color w:val="FFFFFF" w:themeColor="light1"/>
                          <w:sz w:val="20"/>
                          <w:szCs w:val="20"/>
                        </w:rPr>
                      </w:pPr>
                      <w:r>
                        <w:rPr>
                          <w:color w:val="FFFFFF" w:themeColor="light1"/>
                          <w:sz w:val="20"/>
                          <w:szCs w:val="20"/>
                        </w:rPr>
                        <w:t>z</w:t>
                      </w:r>
                    </w:p>
                  </w:txbxContent>
                </v:textbox>
              </v:shape>
            </w:pict>
          </mc:Fallback>
        </mc:AlternateContent>
      </w:r>
      <w:r w:rsidR="00453E0E" w:rsidRPr="00A728A6">
        <w:rPr>
          <w:bCs w:val="0"/>
          <w:lang w:eastAsia="en-AU"/>
        </w:rPr>
        <w:t>Queensland Kindergarten Funding (QKF)</w:t>
      </w:r>
    </w:p>
    <w:p w14:paraId="1F3126C5" w14:textId="33332742" w:rsidR="00453E0E" w:rsidRPr="00453E0E" w:rsidRDefault="00B17C67" w:rsidP="0019248E">
      <w:pPr>
        <w:spacing w:after="240" w:line="276" w:lineRule="auto"/>
        <w:rPr>
          <w:lang w:eastAsia="en-AU"/>
        </w:rPr>
      </w:pPr>
      <w:r w:rsidRPr="00A728A6">
        <w:rPr>
          <w:lang w:eastAsia="en-AU"/>
        </w:rPr>
        <w:t xml:space="preserve">The department is committed to ensuring that </w:t>
      </w:r>
      <w:r w:rsidR="00CE100A" w:rsidRPr="00A728A6">
        <w:rPr>
          <w:lang w:eastAsia="en-AU"/>
        </w:rPr>
        <w:t xml:space="preserve">the </w:t>
      </w:r>
      <w:r w:rsidRPr="00A728A6">
        <w:rPr>
          <w:lang w:eastAsia="en-AU"/>
        </w:rPr>
        <w:t>funding provided enables all children to have a strong start</w:t>
      </w:r>
      <w:r w:rsidR="00CE100A" w:rsidRPr="00A728A6">
        <w:rPr>
          <w:lang w:eastAsia="en-AU"/>
        </w:rPr>
        <w:t xml:space="preserve"> </w:t>
      </w:r>
      <w:r w:rsidR="00A42947" w:rsidRPr="00A728A6">
        <w:rPr>
          <w:lang w:eastAsia="en-AU"/>
        </w:rPr>
        <w:t xml:space="preserve">through </w:t>
      </w:r>
      <w:r w:rsidRPr="00A728A6">
        <w:rPr>
          <w:lang w:eastAsia="en-AU"/>
        </w:rPr>
        <w:t>greater access to a quality kindergarten program for Queensland children</w:t>
      </w:r>
      <w:r w:rsidR="0028748A" w:rsidRPr="00A728A6">
        <w:rPr>
          <w:lang w:eastAsia="en-AU"/>
        </w:rPr>
        <w:t>, improv</w:t>
      </w:r>
      <w:r w:rsidR="00B0660A" w:rsidRPr="00A728A6">
        <w:rPr>
          <w:lang w:eastAsia="en-AU"/>
        </w:rPr>
        <w:t>ing</w:t>
      </w:r>
      <w:r w:rsidR="0028748A" w:rsidRPr="00A728A6">
        <w:rPr>
          <w:lang w:eastAsia="en-AU"/>
        </w:rPr>
        <w:t xml:space="preserve"> inclusiveness </w:t>
      </w:r>
      <w:r w:rsidRPr="00A728A6">
        <w:rPr>
          <w:lang w:eastAsia="en-AU"/>
        </w:rPr>
        <w:t>and reduc</w:t>
      </w:r>
      <w:r w:rsidR="00B0660A" w:rsidRPr="00A728A6">
        <w:rPr>
          <w:lang w:eastAsia="en-AU"/>
        </w:rPr>
        <w:t>ing</w:t>
      </w:r>
      <w:r w:rsidRPr="00A728A6">
        <w:rPr>
          <w:lang w:eastAsia="en-AU"/>
        </w:rPr>
        <w:t xml:space="preserve"> out-of-pocket fees for many </w:t>
      </w:r>
      <w:r w:rsidRPr="00A728A6">
        <w:rPr>
          <w:lang w:val="en-GB"/>
        </w:rPr>
        <w:t>families</w:t>
      </w:r>
      <w:r w:rsidRPr="00A728A6">
        <w:rPr>
          <w:lang w:eastAsia="en-AU"/>
        </w:rPr>
        <w:t>.</w:t>
      </w:r>
    </w:p>
    <w:p w14:paraId="03F1133D" w14:textId="06D5F784" w:rsidR="00453E0E" w:rsidRPr="00453E0E" w:rsidRDefault="008C55DA" w:rsidP="00C24500">
      <w:pPr>
        <w:pStyle w:val="Heading3"/>
        <w:spacing w:after="0" w:line="276" w:lineRule="auto"/>
        <w:rPr>
          <w:lang w:eastAsia="en-AU"/>
        </w:rPr>
      </w:pPr>
      <w:r>
        <w:rPr>
          <w:lang w:eastAsia="en-AU"/>
        </w:rPr>
        <w:t>Governance</w:t>
      </w:r>
    </w:p>
    <w:p w14:paraId="189DE8F4" w14:textId="58077B17" w:rsidR="00210BCD" w:rsidRPr="002C4507" w:rsidRDefault="00210BCD" w:rsidP="00B7285C">
      <w:pPr>
        <w:spacing w:line="276" w:lineRule="auto"/>
        <w:rPr>
          <w:lang w:eastAsia="en-AU"/>
        </w:rPr>
      </w:pPr>
      <w:r w:rsidRPr="002C4507">
        <w:rPr>
          <w:lang w:eastAsia="en-AU"/>
        </w:rPr>
        <w:t xml:space="preserve">Approved </w:t>
      </w:r>
      <w:r>
        <w:rPr>
          <w:lang w:eastAsia="en-AU"/>
        </w:rPr>
        <w:t>p</w:t>
      </w:r>
      <w:r w:rsidRPr="002C4507">
        <w:rPr>
          <w:lang w:eastAsia="en-AU"/>
        </w:rPr>
        <w:t xml:space="preserve">roviders have </w:t>
      </w:r>
      <w:r w:rsidRPr="00210BCD">
        <w:rPr>
          <w:lang w:eastAsia="en-AU"/>
        </w:rPr>
        <w:t xml:space="preserve">overall responsibility to comply with the legislative provisions of the </w:t>
      </w:r>
      <w:r w:rsidRPr="00210BCD">
        <w:rPr>
          <w:i/>
          <w:iCs/>
          <w:lang w:eastAsia="en-AU"/>
        </w:rPr>
        <w:t>Community Services Act 2007</w:t>
      </w:r>
      <w:r w:rsidRPr="00210BCD">
        <w:rPr>
          <w:lang w:eastAsia="en-AU"/>
        </w:rPr>
        <w:t xml:space="preserve"> (CSA), under which funding is granted for individual or multiple long day care services or through a Central Governing Body (CGB) for sessional kindergartens. </w:t>
      </w:r>
      <w:r>
        <w:rPr>
          <w:lang w:eastAsia="en-AU"/>
        </w:rPr>
        <w:t xml:space="preserve">Approved providers should implement appropriate governance practices to meet these obligations, including </w:t>
      </w:r>
      <w:r w:rsidRPr="002C4507">
        <w:rPr>
          <w:lang w:eastAsia="en-AU"/>
        </w:rPr>
        <w:t>adherence to:</w:t>
      </w:r>
    </w:p>
    <w:p w14:paraId="7CFEA43D" w14:textId="77777777" w:rsidR="00210BCD" w:rsidRPr="00210BCD" w:rsidRDefault="00210BCD" w:rsidP="00B7285C">
      <w:pPr>
        <w:pStyle w:val="ListParagraph"/>
        <w:spacing w:line="276" w:lineRule="auto"/>
      </w:pPr>
      <w:r w:rsidRPr="00210BCD">
        <w:t>accurate submission of claims including agreement to the Kindergarten Funding Terms and Conditions</w:t>
      </w:r>
    </w:p>
    <w:p w14:paraId="4FEFC2ED" w14:textId="77777777" w:rsidR="00210BCD" w:rsidRPr="00210BCD" w:rsidRDefault="00210BCD" w:rsidP="00B7285C">
      <w:pPr>
        <w:pStyle w:val="ListParagraph"/>
        <w:spacing w:line="276" w:lineRule="auto"/>
      </w:pPr>
      <w:r w:rsidRPr="00210BCD">
        <w:t>reporting requirements (including provision of information/documentation to the department)</w:t>
      </w:r>
    </w:p>
    <w:p w14:paraId="3C15E739" w14:textId="4387908E" w:rsidR="00210BCD" w:rsidRPr="00210BCD" w:rsidRDefault="00210BCD" w:rsidP="00B7285C">
      <w:pPr>
        <w:pStyle w:val="ListParagraph"/>
        <w:spacing w:line="276" w:lineRule="auto"/>
      </w:pPr>
      <w:r w:rsidRPr="00210BCD">
        <w:t xml:space="preserve">compliance with </w:t>
      </w:r>
      <w:r w:rsidRPr="00210BCD">
        <w:rPr>
          <w:rFonts w:cs="Arial"/>
        </w:rPr>
        <w:t xml:space="preserve">the </w:t>
      </w:r>
      <w:hyperlink r:id="rId12" w:history="1">
        <w:r w:rsidRPr="00210BCD">
          <w:rPr>
            <w:rStyle w:val="Hyperlink"/>
            <w:rFonts w:eastAsiaTheme="minorEastAsia" w:cs="Arial"/>
            <w:szCs w:val="22"/>
            <w:lang w:eastAsia="zh-CN"/>
          </w:rPr>
          <w:t>2023 Kindergarten Funding: Funding Category Guidelines</w:t>
        </w:r>
      </w:hyperlink>
      <w:r w:rsidRPr="00210BCD">
        <w:t xml:space="preserve"> and the </w:t>
      </w:r>
      <w:hyperlink r:id="rId13" w:history="1">
        <w:r w:rsidRPr="00210BCD">
          <w:rPr>
            <w:rStyle w:val="Hyperlink"/>
            <w:rFonts w:eastAsiaTheme="minorEastAsia" w:cs="Arial"/>
            <w:szCs w:val="22"/>
            <w:lang w:eastAsia="zh-CN"/>
          </w:rPr>
          <w:t>QKF Essentials</w:t>
        </w:r>
      </w:hyperlink>
      <w:r w:rsidRPr="00210BCD">
        <w:t xml:space="preserve">, including </w:t>
      </w:r>
      <w:r w:rsidRPr="00210BCD">
        <w:rPr>
          <w:b/>
          <w:bCs/>
          <w:u w:val="single"/>
        </w:rPr>
        <w:t>all</w:t>
      </w:r>
      <w:r w:rsidRPr="00210BCD">
        <w:t xml:space="preserve"> child/service eligibility and other operational requirements</w:t>
      </w:r>
    </w:p>
    <w:p w14:paraId="008DA710" w14:textId="367B1681" w:rsidR="00404BCA" w:rsidRPr="00190C24" w:rsidRDefault="00210BCD" w:rsidP="0019248E">
      <w:pPr>
        <w:spacing w:after="240" w:line="276" w:lineRule="auto"/>
      </w:pPr>
      <w:r w:rsidRPr="002C4507">
        <w:t>This is essential for initial application and ongoing submission of claims</w:t>
      </w:r>
      <w:r>
        <w:t xml:space="preserve">. </w:t>
      </w:r>
    </w:p>
    <w:p w14:paraId="5CEC758B" w14:textId="5C4C3CDD" w:rsidR="00D67137" w:rsidRPr="00884FA6" w:rsidRDefault="00884FA6" w:rsidP="001F5F27">
      <w:pPr>
        <w:pStyle w:val="Heading3"/>
        <w:spacing w:after="0" w:line="276" w:lineRule="auto"/>
      </w:pPr>
      <w:r w:rsidRPr="00884FA6">
        <w:t>What is assurance?</w:t>
      </w:r>
    </w:p>
    <w:p w14:paraId="46A8A2C9" w14:textId="439606D8" w:rsidR="0026657B" w:rsidRPr="00884FA6" w:rsidRDefault="00884FA6" w:rsidP="00B7285C">
      <w:pPr>
        <w:spacing w:line="276" w:lineRule="auto"/>
        <w:rPr>
          <w:lang w:eastAsia="en-AU"/>
        </w:rPr>
      </w:pPr>
      <w:r w:rsidRPr="00884FA6">
        <w:rPr>
          <w:lang w:eastAsia="en-AU"/>
        </w:rPr>
        <w:t>Assurance in this context, is referred to as appropriate actions to safeguard funding for the delivery of products or services, in particular to ensure compliance with the CSA and QKF Essentials in the proper and efficient delivery of funded products and services.</w:t>
      </w:r>
    </w:p>
    <w:p w14:paraId="15BA0443" w14:textId="77777777" w:rsidR="00884FA6" w:rsidRPr="00884FA6" w:rsidRDefault="00884FA6" w:rsidP="001F5F27">
      <w:pPr>
        <w:pStyle w:val="Heading3"/>
        <w:spacing w:after="0" w:line="276" w:lineRule="auto"/>
      </w:pPr>
      <w:r w:rsidRPr="00884FA6">
        <w:t>What is an assurance review?</w:t>
      </w:r>
    </w:p>
    <w:p w14:paraId="51D3DE39" w14:textId="70AAE740" w:rsidR="005977C2" w:rsidRPr="0026657B" w:rsidRDefault="00884FA6" w:rsidP="00B7285C">
      <w:pPr>
        <w:spacing w:line="276" w:lineRule="auto"/>
      </w:pPr>
      <w:r w:rsidRPr="00A71128">
        <w:rPr>
          <w:lang w:val="en-GB"/>
        </w:rPr>
        <w:t xml:space="preserve">Assurance reviews will be scheduled periodically to assist the </w:t>
      </w:r>
      <w:r>
        <w:rPr>
          <w:lang w:val="en-GB"/>
        </w:rPr>
        <w:t>department</w:t>
      </w:r>
      <w:r w:rsidRPr="00A71128">
        <w:rPr>
          <w:lang w:val="en-GB"/>
        </w:rPr>
        <w:t>, as the funding provider, to monitor the appropriation of funds in line with the guiding principles of the CSA an</w:t>
      </w:r>
      <w:r>
        <w:rPr>
          <w:lang w:val="en-GB"/>
        </w:rPr>
        <w:t>d</w:t>
      </w:r>
      <w:r w:rsidRPr="00A71128">
        <w:rPr>
          <w:lang w:val="en-GB"/>
        </w:rPr>
        <w:t xml:space="preserve"> obligations under the</w:t>
      </w:r>
      <w:r w:rsidRPr="00A71128">
        <w:t xml:space="preserve"> </w:t>
      </w:r>
      <w:r w:rsidRPr="00A71128">
        <w:rPr>
          <w:i/>
        </w:rPr>
        <w:t>Financial Accountability Act 2009</w:t>
      </w:r>
      <w:r w:rsidRPr="00A71128">
        <w:t>.</w:t>
      </w:r>
    </w:p>
    <w:p w14:paraId="35D3AA30" w14:textId="77777777" w:rsidR="00884FA6" w:rsidRPr="00884FA6" w:rsidRDefault="00884FA6" w:rsidP="001F5F27">
      <w:pPr>
        <w:pStyle w:val="Heading3"/>
        <w:spacing w:after="0" w:line="276" w:lineRule="auto"/>
      </w:pPr>
      <w:r w:rsidRPr="00884FA6">
        <w:lastRenderedPageBreak/>
        <w:t>What reviews are conducted?</w:t>
      </w:r>
    </w:p>
    <w:p w14:paraId="1434D080" w14:textId="77777777" w:rsidR="00884FA6" w:rsidRPr="00A71128" w:rsidRDefault="00884FA6" w:rsidP="00B7285C">
      <w:pPr>
        <w:spacing w:line="276" w:lineRule="auto"/>
        <w:rPr>
          <w:lang w:val="en-GB"/>
        </w:rPr>
      </w:pPr>
      <w:r>
        <w:rPr>
          <w:lang w:val="en-GB"/>
        </w:rPr>
        <w:t xml:space="preserve">A </w:t>
      </w:r>
      <w:r w:rsidRPr="00A71128">
        <w:rPr>
          <w:lang w:val="en-GB"/>
        </w:rPr>
        <w:t xml:space="preserve">variety of reviews </w:t>
      </w:r>
      <w:r>
        <w:rPr>
          <w:lang w:val="en-GB"/>
        </w:rPr>
        <w:t xml:space="preserve">across Queensland are conducted based on initial analyses of claims submitted and may include a review of one or more subsidies, eligibility criteria and/or requirements. This </w:t>
      </w:r>
      <w:r w:rsidRPr="00A71128">
        <w:rPr>
          <w:lang w:val="en-GB"/>
        </w:rPr>
        <w:t xml:space="preserve">will enable essential coverage in an effort to drive consistent </w:t>
      </w:r>
      <w:r>
        <w:rPr>
          <w:lang w:val="en-GB"/>
        </w:rPr>
        <w:t xml:space="preserve">and </w:t>
      </w:r>
      <w:r w:rsidRPr="00A71128">
        <w:rPr>
          <w:lang w:val="en-GB"/>
        </w:rPr>
        <w:t>accurate claims</w:t>
      </w:r>
      <w:r>
        <w:rPr>
          <w:lang w:val="en-GB"/>
        </w:rPr>
        <w:t>, with appropriate expenditure of subsidies</w:t>
      </w:r>
      <w:r w:rsidRPr="00A71128">
        <w:rPr>
          <w:lang w:val="en-GB"/>
        </w:rPr>
        <w:t>.</w:t>
      </w:r>
    </w:p>
    <w:p w14:paraId="492F88E7" w14:textId="77777777" w:rsidR="00884FA6" w:rsidRPr="00884FA6" w:rsidRDefault="00884FA6" w:rsidP="001F5F27">
      <w:pPr>
        <w:pStyle w:val="Heading3"/>
        <w:spacing w:after="0" w:line="276" w:lineRule="auto"/>
      </w:pPr>
      <w:r w:rsidRPr="00884FA6">
        <w:t>What is a corporate controls survey?</w:t>
      </w:r>
    </w:p>
    <w:p w14:paraId="3FA3EDEB" w14:textId="77777777" w:rsidR="00884FA6" w:rsidRPr="00A71128" w:rsidRDefault="00884FA6" w:rsidP="00B7285C">
      <w:pPr>
        <w:spacing w:line="276" w:lineRule="auto"/>
        <w:rPr>
          <w:lang w:val="en-GB"/>
        </w:rPr>
      </w:pPr>
      <w:r w:rsidRPr="00A71128">
        <w:rPr>
          <w:lang w:val="en-GB"/>
        </w:rPr>
        <w:t>As part of a review, in particular for larger organisations that operate multiple services, a corporate controls survey may be requested to be completed to</w:t>
      </w:r>
      <w:r w:rsidRPr="00CF6BCE">
        <w:rPr>
          <w:lang w:val="en-GB"/>
        </w:rPr>
        <w:t xml:space="preserve"> demonstrate appropriate governance strategies for</w:t>
      </w:r>
      <w:r w:rsidRPr="00A71128">
        <w:rPr>
          <w:lang w:val="en-GB"/>
        </w:rPr>
        <w:t xml:space="preserve"> maintaining compliance, including items such as workforce, recordkeeping and financial accountability.</w:t>
      </w:r>
    </w:p>
    <w:p w14:paraId="0EEB2EB6" w14:textId="77777777" w:rsidR="00884FA6" w:rsidRPr="00884FA6" w:rsidRDefault="00884FA6" w:rsidP="001F5F27">
      <w:pPr>
        <w:pStyle w:val="Heading3"/>
        <w:spacing w:after="0" w:line="276" w:lineRule="auto"/>
      </w:pPr>
      <w:r w:rsidRPr="00884FA6">
        <w:t>What are the actions taken following a review?</w:t>
      </w:r>
    </w:p>
    <w:p w14:paraId="6F6BA387" w14:textId="111E6302" w:rsidR="00884FA6" w:rsidRPr="00A71128" w:rsidRDefault="00884FA6" w:rsidP="00B7285C">
      <w:pPr>
        <w:spacing w:line="276" w:lineRule="auto"/>
        <w:rPr>
          <w:lang w:val="en-GB"/>
        </w:rPr>
      </w:pPr>
      <w:r w:rsidRPr="00A71128">
        <w:rPr>
          <w:lang w:val="en-GB"/>
        </w:rPr>
        <w:t>On completion of a review</w:t>
      </w:r>
      <w:r>
        <w:rPr>
          <w:lang w:val="en-GB"/>
        </w:rPr>
        <w:t>,</w:t>
      </w:r>
      <w:r w:rsidRPr="00A71128">
        <w:rPr>
          <w:lang w:val="en-GB"/>
        </w:rPr>
        <w:t xml:space="preserve"> an </w:t>
      </w:r>
      <w:r w:rsidRPr="00A71128">
        <w:rPr>
          <w:i/>
          <w:lang w:val="en-GB"/>
        </w:rPr>
        <w:t>Outcome Report</w:t>
      </w:r>
      <w:r w:rsidRPr="00A71128">
        <w:rPr>
          <w:lang w:val="en-GB"/>
        </w:rPr>
        <w:t xml:space="preserve"> will be provided,</w:t>
      </w:r>
      <w:r>
        <w:rPr>
          <w:lang w:val="en-GB"/>
        </w:rPr>
        <w:t xml:space="preserve"> </w:t>
      </w:r>
      <w:r w:rsidRPr="00A71128">
        <w:rPr>
          <w:lang w:val="en-GB"/>
        </w:rPr>
        <w:t>detailing the findings</w:t>
      </w:r>
      <w:r>
        <w:rPr>
          <w:lang w:val="en-GB"/>
        </w:rPr>
        <w:t xml:space="preserve"> </w:t>
      </w:r>
      <w:r w:rsidRPr="00A71128">
        <w:rPr>
          <w:lang w:val="en-GB"/>
        </w:rPr>
        <w:t>and any improvement strategies</w:t>
      </w:r>
      <w:r>
        <w:rPr>
          <w:lang w:val="en-GB"/>
        </w:rPr>
        <w:t xml:space="preserve"> such as </w:t>
      </w:r>
      <w:r w:rsidRPr="00A71128">
        <w:rPr>
          <w:lang w:val="en-GB"/>
        </w:rPr>
        <w:t>educational support</w:t>
      </w:r>
      <w:r>
        <w:rPr>
          <w:lang w:val="en-GB"/>
        </w:rPr>
        <w:t>/</w:t>
      </w:r>
      <w:r w:rsidR="00B20E5F">
        <w:rPr>
          <w:lang w:val="en-GB"/>
        </w:rPr>
        <w:t xml:space="preserve"> </w:t>
      </w:r>
      <w:r w:rsidRPr="00A71128">
        <w:rPr>
          <w:lang w:val="en-GB"/>
        </w:rPr>
        <w:t>resources</w:t>
      </w:r>
      <w:r>
        <w:rPr>
          <w:lang w:val="en-GB"/>
        </w:rPr>
        <w:t>, or identify</w:t>
      </w:r>
      <w:r w:rsidRPr="00A71128">
        <w:rPr>
          <w:lang w:val="en-GB"/>
        </w:rPr>
        <w:t xml:space="preserve"> </w:t>
      </w:r>
      <w:r>
        <w:rPr>
          <w:lang w:val="en-GB"/>
        </w:rPr>
        <w:t>further</w:t>
      </w:r>
      <w:r w:rsidRPr="00A71128">
        <w:rPr>
          <w:lang w:val="en-GB"/>
        </w:rPr>
        <w:t xml:space="preserve"> actions to be taken, including reco</w:t>
      </w:r>
      <w:r>
        <w:rPr>
          <w:lang w:val="en-GB"/>
        </w:rPr>
        <w:t>very</w:t>
      </w:r>
      <w:r w:rsidRPr="00A71128">
        <w:rPr>
          <w:lang w:val="en-GB"/>
        </w:rPr>
        <w:t xml:space="preserve"> of funds. </w:t>
      </w:r>
    </w:p>
    <w:p w14:paraId="0F6D60B7" w14:textId="77777777" w:rsidR="00884FA6" w:rsidRPr="00884FA6" w:rsidRDefault="00884FA6" w:rsidP="001F5F27">
      <w:pPr>
        <w:pStyle w:val="Heading3"/>
        <w:spacing w:after="0" w:line="276" w:lineRule="auto"/>
      </w:pPr>
      <w:r w:rsidRPr="00884FA6">
        <w:t>Who is part of the review?</w:t>
      </w:r>
    </w:p>
    <w:p w14:paraId="1A0FCE0E" w14:textId="1A19A743" w:rsidR="00D67137" w:rsidRDefault="00884FA6" w:rsidP="00B7285C">
      <w:pPr>
        <w:spacing w:line="276" w:lineRule="auto"/>
        <w:rPr>
          <w:lang w:val="en-GB"/>
        </w:rPr>
      </w:pPr>
      <w:r w:rsidRPr="00A71128">
        <w:rPr>
          <w:lang w:val="en-GB"/>
        </w:rPr>
        <w:t xml:space="preserve">Authorised Officers undertake reviews as part of their role under the CSA. </w:t>
      </w:r>
      <w:r>
        <w:rPr>
          <w:lang w:val="en-GB"/>
        </w:rPr>
        <w:t xml:space="preserve">The </w:t>
      </w:r>
      <w:r w:rsidRPr="00A71128">
        <w:rPr>
          <w:lang w:val="en-GB"/>
        </w:rPr>
        <w:t xml:space="preserve">Authorised Officer </w:t>
      </w:r>
      <w:r>
        <w:rPr>
          <w:lang w:val="en-GB"/>
        </w:rPr>
        <w:t xml:space="preserve">will contact the </w:t>
      </w:r>
      <w:r w:rsidR="00A728A6">
        <w:rPr>
          <w:lang w:val="en-GB"/>
        </w:rPr>
        <w:t>a</w:t>
      </w:r>
      <w:r>
        <w:rPr>
          <w:lang w:val="en-GB"/>
        </w:rPr>
        <w:t xml:space="preserve">pproved </w:t>
      </w:r>
      <w:r w:rsidR="00BC5778">
        <w:rPr>
          <w:lang w:val="en-GB"/>
        </w:rPr>
        <w:t>p</w:t>
      </w:r>
      <w:r>
        <w:rPr>
          <w:lang w:val="en-GB"/>
        </w:rPr>
        <w:t xml:space="preserve">rovider to initiate the review process, requesting documentation for determining a services </w:t>
      </w:r>
      <w:r w:rsidRPr="00A71128">
        <w:rPr>
          <w:lang w:val="en-GB"/>
        </w:rPr>
        <w:t>compliance</w:t>
      </w:r>
      <w:r>
        <w:rPr>
          <w:lang w:val="en-GB"/>
        </w:rPr>
        <w:t xml:space="preserve"> with the selected criteria</w:t>
      </w:r>
      <w:r w:rsidRPr="00A71128">
        <w:rPr>
          <w:lang w:val="en-GB"/>
        </w:rPr>
        <w:t xml:space="preserve">. </w:t>
      </w:r>
      <w:r>
        <w:rPr>
          <w:lang w:val="en-GB"/>
        </w:rPr>
        <w:t>On occasions it may be appropriate to undertake a site visit as part of an assurance review.</w:t>
      </w:r>
    </w:p>
    <w:p w14:paraId="33C3644B" w14:textId="10A70FBB" w:rsidR="00884FA6" w:rsidRDefault="00884FA6" w:rsidP="001F5F27">
      <w:pPr>
        <w:pStyle w:val="Heading3"/>
        <w:spacing w:after="0" w:line="276" w:lineRule="auto"/>
      </w:pPr>
      <w:r>
        <w:t xml:space="preserve">What is an </w:t>
      </w:r>
      <w:r w:rsidRPr="00884FA6">
        <w:t>Authorised Officer</w:t>
      </w:r>
      <w:r>
        <w:t>?</w:t>
      </w:r>
    </w:p>
    <w:p w14:paraId="69EB7067" w14:textId="77777777" w:rsidR="00884FA6" w:rsidRPr="00884FA6" w:rsidRDefault="00884FA6" w:rsidP="00B7285C">
      <w:pPr>
        <w:spacing w:line="276" w:lineRule="auto"/>
        <w:rPr>
          <w:lang w:val="en-GB"/>
        </w:rPr>
      </w:pPr>
      <w:r w:rsidRPr="00884FA6">
        <w:rPr>
          <w:lang w:val="en-GB"/>
        </w:rPr>
        <w:t>An Authorised Officer is appointed under the CSA to undertake certain functions relating to funding including investigating, monitoring and ensuring compliance with the CSA.</w:t>
      </w:r>
    </w:p>
    <w:p w14:paraId="0844137C" w14:textId="62AACAF1" w:rsidR="00884FA6" w:rsidRPr="00884FA6" w:rsidRDefault="00884FA6" w:rsidP="001F5F27">
      <w:pPr>
        <w:pStyle w:val="Heading3"/>
        <w:spacing w:after="0" w:line="276" w:lineRule="auto"/>
      </w:pPr>
      <w:r>
        <w:t>What are the p</w:t>
      </w:r>
      <w:r w:rsidRPr="00884FA6">
        <w:t>owers of Authorised Officers</w:t>
      </w:r>
      <w:r>
        <w:t>?</w:t>
      </w:r>
    </w:p>
    <w:p w14:paraId="6F67B284" w14:textId="27AB83DA" w:rsidR="0026657B" w:rsidRDefault="00884FA6" w:rsidP="0026657B">
      <w:pPr>
        <w:spacing w:line="276" w:lineRule="auto"/>
      </w:pPr>
      <w:r w:rsidRPr="00884FA6">
        <w:t>Powers enable Authorised Officers to undertake prescribed functions to determine compliance, including requesting information/ documentation and entering a place (announced or unannounced).</w:t>
      </w:r>
    </w:p>
    <w:p w14:paraId="08BBC16E" w14:textId="51A98532" w:rsidR="00884FA6" w:rsidRPr="00884FA6" w:rsidRDefault="00884FA6" w:rsidP="001F5F27">
      <w:pPr>
        <w:pStyle w:val="Heading3"/>
        <w:spacing w:after="0" w:line="276" w:lineRule="auto"/>
      </w:pPr>
      <w:r w:rsidRPr="00884FA6">
        <w:t>False or misleading information</w:t>
      </w:r>
    </w:p>
    <w:p w14:paraId="2B4320AB" w14:textId="0A82A967" w:rsidR="001F5F27" w:rsidRDefault="00884FA6" w:rsidP="0026657B">
      <w:pPr>
        <w:spacing w:line="276" w:lineRule="auto"/>
      </w:pPr>
      <w:r w:rsidRPr="00884FA6">
        <w:t>It is imperative that accurate and up</w:t>
      </w:r>
      <w:r>
        <w:t>-</w:t>
      </w:r>
      <w:r w:rsidRPr="00884FA6">
        <w:t>to</w:t>
      </w:r>
      <w:r>
        <w:t>-</w:t>
      </w:r>
      <w:r w:rsidRPr="00884FA6">
        <w:t>date records are retained to support each kindergarten funding claim and is provided on request. Under s48 and s49 of the CSA a person must not state, or give documentation, that they know is false or misleading.</w:t>
      </w:r>
    </w:p>
    <w:p w14:paraId="2120FB09" w14:textId="3E1D1610" w:rsidR="00A338F4" w:rsidRDefault="00A338F4" w:rsidP="001F5F27">
      <w:pPr>
        <w:pStyle w:val="Heading3"/>
        <w:spacing w:after="0" w:line="276" w:lineRule="auto"/>
      </w:pPr>
    </w:p>
    <w:p w14:paraId="7CE43688" w14:textId="5A0CEDA0" w:rsidR="00BC5778" w:rsidRDefault="00BC5778" w:rsidP="00BC5778"/>
    <w:p w14:paraId="3D04F475" w14:textId="77777777" w:rsidR="00BC5778" w:rsidRPr="00BC5778" w:rsidRDefault="00BC5778" w:rsidP="00BC5778"/>
    <w:p w14:paraId="12A4B5C1" w14:textId="2326C359" w:rsidR="00884FA6" w:rsidRPr="00884FA6" w:rsidRDefault="00884FA6" w:rsidP="001F5F27">
      <w:pPr>
        <w:pStyle w:val="Heading3"/>
        <w:spacing w:after="0" w:line="276" w:lineRule="auto"/>
      </w:pPr>
      <w:r w:rsidRPr="00884FA6">
        <w:lastRenderedPageBreak/>
        <w:t>Recovery of funding</w:t>
      </w:r>
    </w:p>
    <w:p w14:paraId="53DD68E8" w14:textId="15E036D0" w:rsidR="00884FA6" w:rsidRPr="00884FA6" w:rsidRDefault="00884FA6" w:rsidP="00B7285C">
      <w:pPr>
        <w:spacing w:line="276" w:lineRule="auto"/>
      </w:pPr>
      <w:r w:rsidRPr="00884FA6">
        <w:t>Funds will be recovered in instances where the service does not meet the criteria/requirements and/or cannot provide evidence to demonstrate compliance</w:t>
      </w:r>
      <w:r>
        <w:t xml:space="preserve">, </w:t>
      </w:r>
      <w:r w:rsidRPr="00884FA6">
        <w:t>e.g. no qualified early childhood teacher delivering the approved kindergarten program. These funds will be recovered as a debt owing to the department and future funding may be suspended or terminated, in accordance with the QKF Essentials.</w:t>
      </w:r>
    </w:p>
    <w:p w14:paraId="700E642B" w14:textId="7DD7FA50" w:rsidR="00884FA6" w:rsidRDefault="00884FA6" w:rsidP="001F5F27">
      <w:pPr>
        <w:pStyle w:val="Heading3"/>
        <w:spacing w:after="0" w:line="276" w:lineRule="auto"/>
      </w:pPr>
      <w:r w:rsidRPr="00884FA6">
        <w:t>Compliance actions</w:t>
      </w:r>
    </w:p>
    <w:p w14:paraId="594180D4" w14:textId="69F006B4" w:rsidR="00884FA6" w:rsidRDefault="00884FA6" w:rsidP="00B7285C">
      <w:pPr>
        <w:spacing w:line="276" w:lineRule="auto"/>
        <w:rPr>
          <w:lang w:val="en-GB"/>
        </w:rPr>
      </w:pPr>
      <w:r w:rsidRPr="00A71128">
        <w:rPr>
          <w:lang w:val="en-GB"/>
        </w:rPr>
        <w:t>Depending on the outcomes identified from a review,</w:t>
      </w:r>
      <w:r>
        <w:rPr>
          <w:lang w:val="en-GB"/>
        </w:rPr>
        <w:t xml:space="preserve"> </w:t>
      </w:r>
      <w:r w:rsidRPr="00A71128">
        <w:rPr>
          <w:lang w:val="en-GB"/>
        </w:rPr>
        <w:t>appropriate action</w:t>
      </w:r>
      <w:r>
        <w:rPr>
          <w:lang w:val="en-GB"/>
        </w:rPr>
        <w:t>s</w:t>
      </w:r>
      <w:r w:rsidRPr="00A71128">
        <w:rPr>
          <w:lang w:val="en-GB"/>
        </w:rPr>
        <w:t xml:space="preserve"> will be taken. </w:t>
      </w:r>
      <w:r>
        <w:rPr>
          <w:lang w:val="en-GB"/>
        </w:rPr>
        <w:t>F</w:t>
      </w:r>
      <w:r w:rsidRPr="00A71128">
        <w:rPr>
          <w:lang w:val="en-GB"/>
        </w:rPr>
        <w:t xml:space="preserve">ailure to meet the </w:t>
      </w:r>
      <w:r>
        <w:rPr>
          <w:lang w:val="en-GB"/>
        </w:rPr>
        <w:t>f</w:t>
      </w:r>
      <w:r w:rsidRPr="00A71128">
        <w:rPr>
          <w:lang w:val="en-GB"/>
        </w:rPr>
        <w:t xml:space="preserve">unding </w:t>
      </w:r>
      <w:r>
        <w:rPr>
          <w:lang w:val="en-GB"/>
        </w:rPr>
        <w:t>criteria or r</w:t>
      </w:r>
      <w:r w:rsidRPr="00A71128">
        <w:rPr>
          <w:lang w:val="en-GB"/>
        </w:rPr>
        <w:t xml:space="preserve">equirements may </w:t>
      </w:r>
      <w:r>
        <w:rPr>
          <w:lang w:val="en-GB"/>
        </w:rPr>
        <w:t xml:space="preserve">result in further compliance action being initiated such as a </w:t>
      </w:r>
      <w:r w:rsidRPr="004B5B4E">
        <w:rPr>
          <w:lang w:val="en-GB"/>
        </w:rPr>
        <w:t xml:space="preserve">compliance notice </w:t>
      </w:r>
      <w:r>
        <w:rPr>
          <w:lang w:val="en-GB"/>
        </w:rPr>
        <w:t xml:space="preserve">or show cause </w:t>
      </w:r>
      <w:r w:rsidRPr="004B5B4E">
        <w:rPr>
          <w:lang w:val="en-GB"/>
        </w:rPr>
        <w:t>with a potential consequence of suspending or stopping funding.</w:t>
      </w:r>
    </w:p>
    <w:p w14:paraId="383E08B9" w14:textId="2001C2D2" w:rsidR="00884FA6" w:rsidRDefault="00884FA6" w:rsidP="00C24500">
      <w:pPr>
        <w:pStyle w:val="Heading3"/>
        <w:spacing w:after="0" w:line="276" w:lineRule="auto"/>
        <w:rPr>
          <w:lang w:val="en-GB"/>
        </w:rPr>
      </w:pPr>
      <w:r w:rsidRPr="00C24500">
        <w:t>Assurance</w:t>
      </w:r>
      <w:r>
        <w:rPr>
          <w:lang w:val="en-GB"/>
        </w:rPr>
        <w:t xml:space="preserve"> reviews </w:t>
      </w:r>
      <w:r w:rsidR="001F5F27">
        <w:rPr>
          <w:lang w:val="en-GB"/>
        </w:rPr>
        <w:t xml:space="preserve">in </w:t>
      </w:r>
      <w:r>
        <w:rPr>
          <w:lang w:val="en-GB"/>
        </w:rPr>
        <w:t xml:space="preserve">2023 (based on </w:t>
      </w:r>
      <w:r w:rsidRPr="00384198">
        <w:rPr>
          <w:u w:val="single"/>
          <w:lang w:val="en-GB"/>
        </w:rPr>
        <w:t>2022 claims</w:t>
      </w:r>
      <w:r>
        <w:rPr>
          <w:lang w:val="en-GB"/>
        </w:rPr>
        <w:t>)</w:t>
      </w:r>
    </w:p>
    <w:p w14:paraId="0E296DE6" w14:textId="77777777" w:rsidR="001F5F27" w:rsidRDefault="00884FA6" w:rsidP="001F5F27">
      <w:pPr>
        <w:spacing w:line="276" w:lineRule="auto"/>
      </w:pPr>
      <w:r w:rsidRPr="00510CBF">
        <w:rPr>
          <w:lang w:val="en-US"/>
        </w:rPr>
        <w:t xml:space="preserve">Approved </w:t>
      </w:r>
      <w:r>
        <w:rPr>
          <w:lang w:val="en-US"/>
        </w:rPr>
        <w:t>p</w:t>
      </w:r>
      <w:r w:rsidRPr="00510CBF">
        <w:rPr>
          <w:lang w:val="en-US"/>
        </w:rPr>
        <w:t xml:space="preserve">roviders in receipt of </w:t>
      </w:r>
      <w:r>
        <w:rPr>
          <w:lang w:val="en-US"/>
        </w:rPr>
        <w:t xml:space="preserve">kindergarten </w:t>
      </w:r>
      <w:r w:rsidRPr="00510CBF">
        <w:rPr>
          <w:lang w:val="en-US"/>
        </w:rPr>
        <w:t xml:space="preserve">funding </w:t>
      </w:r>
      <w:r>
        <w:rPr>
          <w:lang w:val="en-US"/>
        </w:rPr>
        <w:t xml:space="preserve">have an ongoing obligation to adhere to the </w:t>
      </w:r>
      <w:r w:rsidRPr="00510CBF">
        <w:rPr>
          <w:lang w:val="en-US"/>
        </w:rPr>
        <w:t>eligibility criteria, operational requirements and terms and conditions</w:t>
      </w:r>
      <w:r>
        <w:rPr>
          <w:lang w:val="en-US"/>
        </w:rPr>
        <w:t xml:space="preserve">. </w:t>
      </w:r>
      <w:r w:rsidR="001F5F27">
        <w:t xml:space="preserve">Records demonstrating compliance are required to be provided on request by the department including for the purposes of an assurance review. </w:t>
      </w:r>
      <w:r w:rsidR="001F5F27" w:rsidRPr="00A50DB2">
        <w:t>This includes</w:t>
      </w:r>
      <w:r w:rsidR="001F5F27">
        <w:t>,</w:t>
      </w:r>
      <w:r w:rsidR="001F5F27" w:rsidRPr="00A50DB2">
        <w:t xml:space="preserve"> for example, recording each quarter how the </w:t>
      </w:r>
      <w:r w:rsidR="001F5F27">
        <w:t>s</w:t>
      </w:r>
      <w:r w:rsidR="001F5F27" w:rsidRPr="00A50DB2">
        <w:t xml:space="preserve">tandard </w:t>
      </w:r>
      <w:r w:rsidR="001F5F27">
        <w:t>s</w:t>
      </w:r>
      <w:r w:rsidR="001F5F27" w:rsidRPr="00A50DB2">
        <w:t>ubsidy has been used</w:t>
      </w:r>
      <w:r w:rsidR="001F5F27">
        <w:t xml:space="preserve"> and </w:t>
      </w:r>
      <w:r w:rsidR="001F5F27" w:rsidRPr="00A50DB2">
        <w:t>retaining evidence of the spending in a dedicated kindergarten file</w:t>
      </w:r>
      <w:r w:rsidR="001F5F27">
        <w:t xml:space="preserve">. </w:t>
      </w:r>
    </w:p>
    <w:p w14:paraId="3206348D" w14:textId="5D05240C" w:rsidR="001F5F27" w:rsidRDefault="001F5F27" w:rsidP="00C24500">
      <w:pPr>
        <w:spacing w:after="240" w:line="276" w:lineRule="auto"/>
      </w:pPr>
      <w:r>
        <w:rPr>
          <w:lang w:val="en-US"/>
        </w:rPr>
        <w:t xml:space="preserve">For assurance reviews in 2023, there are four focus areas for the department. These are </w:t>
      </w:r>
      <w:r w:rsidR="00884FA6">
        <w:rPr>
          <w:lang w:val="en-US"/>
        </w:rPr>
        <w:t>based on previous trends, in ensuring ongoing compliance and appropriate application of QKF subsidies</w:t>
      </w:r>
      <w:r>
        <w:rPr>
          <w:lang w:val="en-US"/>
        </w:rPr>
        <w:t xml:space="preserve">. </w:t>
      </w:r>
      <w:r>
        <w:t xml:space="preserve">Further information regarding the key focus areas is available on the </w:t>
      </w:r>
      <w:hyperlink r:id="rId14" w:history="1">
        <w:r w:rsidRPr="008670A1">
          <w:rPr>
            <w:rStyle w:val="Hyperlink"/>
          </w:rPr>
          <w:t>department’s website</w:t>
        </w:r>
      </w:hyperlink>
      <w:r w:rsidR="00E92D11">
        <w:t>.</w:t>
      </w:r>
    </w:p>
    <w:p w14:paraId="16CBA752" w14:textId="34267367" w:rsidR="00884FA6" w:rsidRDefault="00B71170" w:rsidP="00B71170">
      <w:pPr>
        <w:pStyle w:val="Heading3"/>
        <w:spacing w:before="120" w:after="0"/>
        <w:rPr>
          <w:lang w:val="en-GB"/>
        </w:rPr>
      </w:pPr>
      <w:r>
        <w:rPr>
          <w:noProof/>
          <w:lang w:val="en-GB"/>
        </w:rPr>
        <w:drawing>
          <wp:anchor distT="0" distB="0" distL="114300" distR="114300" simplePos="0" relativeHeight="251664384" behindDoc="0" locked="0" layoutInCell="1" allowOverlap="1" wp14:anchorId="378C11F7" wp14:editId="42260398">
            <wp:simplePos x="0" y="0"/>
            <wp:positionH relativeFrom="margin">
              <wp:align>center</wp:align>
            </wp:positionH>
            <wp:positionV relativeFrom="paragraph">
              <wp:posOffset>380365</wp:posOffset>
            </wp:positionV>
            <wp:extent cx="5537394" cy="3618058"/>
            <wp:effectExtent l="0" t="0" r="635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5">
                      <a:extLst>
                        <a:ext uri="{28A0092B-C50C-407E-A947-70E740481C1C}">
                          <a14:useLocalDpi xmlns:a14="http://schemas.microsoft.com/office/drawing/2010/main" val="0"/>
                        </a:ext>
                      </a:extLst>
                    </a:blip>
                    <a:srcRect t="18442" b="16216"/>
                    <a:stretch/>
                  </pic:blipFill>
                  <pic:spPr bwMode="auto">
                    <a:xfrm>
                      <a:off x="0" y="0"/>
                      <a:ext cx="5537394" cy="36180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4DA9" w:rsidRPr="00864DA9">
        <w:rPr>
          <w:lang w:val="en-GB"/>
        </w:rPr>
        <w:t>Participating in an assurance review</w:t>
      </w:r>
    </w:p>
    <w:p w14:paraId="7EE8B847" w14:textId="3D3F04DA" w:rsidR="00B71170" w:rsidRDefault="00B71170" w:rsidP="00B71170">
      <w:pPr>
        <w:rPr>
          <w:lang w:val="en-GB"/>
        </w:rPr>
      </w:pPr>
    </w:p>
    <w:p w14:paraId="331E2547" w14:textId="08CCCECE" w:rsidR="00B71170" w:rsidRDefault="00B71170" w:rsidP="00B71170">
      <w:pPr>
        <w:rPr>
          <w:lang w:val="en-GB"/>
        </w:rPr>
      </w:pPr>
    </w:p>
    <w:p w14:paraId="6EF825DB" w14:textId="40D13ABE" w:rsidR="00B71170" w:rsidRDefault="00B71170" w:rsidP="00B71170">
      <w:pPr>
        <w:rPr>
          <w:lang w:val="en-GB"/>
        </w:rPr>
      </w:pPr>
    </w:p>
    <w:p w14:paraId="35C7725A" w14:textId="3F7AACAE" w:rsidR="00B71170" w:rsidRDefault="00B71170" w:rsidP="00B71170">
      <w:pPr>
        <w:rPr>
          <w:lang w:val="en-GB"/>
        </w:rPr>
      </w:pPr>
    </w:p>
    <w:p w14:paraId="603F5BB6" w14:textId="79AE4069" w:rsidR="00B71170" w:rsidRDefault="00B71170" w:rsidP="00B71170">
      <w:pPr>
        <w:rPr>
          <w:lang w:val="en-GB"/>
        </w:rPr>
      </w:pPr>
    </w:p>
    <w:p w14:paraId="5528B262" w14:textId="15503BC3" w:rsidR="00B71170" w:rsidRDefault="00B71170" w:rsidP="00B71170">
      <w:pPr>
        <w:rPr>
          <w:lang w:val="en-GB"/>
        </w:rPr>
      </w:pPr>
    </w:p>
    <w:p w14:paraId="66682A17" w14:textId="77777777" w:rsidR="0030262D" w:rsidRDefault="0030262D" w:rsidP="00986881">
      <w:pPr>
        <w:pStyle w:val="Heading3"/>
        <w:spacing w:before="0" w:after="60" w:line="276" w:lineRule="auto"/>
        <w:ind w:left="-851"/>
        <w:rPr>
          <w:lang w:val="en-GB"/>
        </w:rPr>
      </w:pPr>
    </w:p>
    <w:p w14:paraId="00F31BC1" w14:textId="56F9107C" w:rsidR="0030262D" w:rsidRDefault="0030262D" w:rsidP="00986881">
      <w:pPr>
        <w:pStyle w:val="Heading3"/>
        <w:spacing w:before="0" w:after="60" w:line="276" w:lineRule="auto"/>
        <w:ind w:left="-851"/>
        <w:rPr>
          <w:lang w:val="en-GB"/>
        </w:rPr>
      </w:pPr>
    </w:p>
    <w:p w14:paraId="2BFA4FBF" w14:textId="3CD21F0A" w:rsidR="00332AF9" w:rsidRDefault="00332AF9" w:rsidP="00332AF9">
      <w:pPr>
        <w:rPr>
          <w:lang w:val="en-GB"/>
        </w:rPr>
      </w:pPr>
    </w:p>
    <w:p w14:paraId="63FD9580" w14:textId="77777777" w:rsidR="00332AF9" w:rsidRPr="00332AF9" w:rsidRDefault="00332AF9" w:rsidP="00332AF9">
      <w:pPr>
        <w:rPr>
          <w:lang w:val="en-GB"/>
        </w:rPr>
      </w:pPr>
    </w:p>
    <w:p w14:paraId="5C0E6172" w14:textId="4523940A" w:rsidR="00864DA9" w:rsidRPr="00864DA9" w:rsidRDefault="00864DA9" w:rsidP="00986881">
      <w:pPr>
        <w:pStyle w:val="Heading3"/>
        <w:spacing w:before="0" w:after="60" w:line="276" w:lineRule="auto"/>
        <w:ind w:left="-851"/>
        <w:rPr>
          <w:lang w:val="en-GB"/>
        </w:rPr>
      </w:pPr>
      <w:r w:rsidRPr="00864DA9">
        <w:rPr>
          <w:lang w:val="en-GB"/>
        </w:rPr>
        <w:lastRenderedPageBreak/>
        <w:t>Checklist</w:t>
      </w:r>
    </w:p>
    <w:p w14:paraId="2EBD28CF" w14:textId="64096BAF" w:rsidR="00864DA9" w:rsidRDefault="00864DA9" w:rsidP="00332AF9">
      <w:pPr>
        <w:spacing w:after="60" w:line="276" w:lineRule="auto"/>
        <w:ind w:left="-851"/>
        <w:rPr>
          <w:lang w:val="en-US"/>
        </w:rPr>
      </w:pPr>
      <w:r>
        <w:rPr>
          <w:lang w:val="en-US"/>
        </w:rPr>
        <w:t>To assist in preparing the return of your documentation when participating in</w:t>
      </w:r>
      <w:r w:rsidR="00C864A7">
        <w:rPr>
          <w:lang w:val="en-US"/>
        </w:rPr>
        <w:t xml:space="preserve"> </w:t>
      </w:r>
      <w:r>
        <w:rPr>
          <w:lang w:val="en-US"/>
        </w:rPr>
        <w:t>assurance review</w:t>
      </w:r>
      <w:r w:rsidR="00C864A7">
        <w:rPr>
          <w:lang w:val="en-US"/>
        </w:rPr>
        <w:t>s</w:t>
      </w:r>
      <w:r w:rsidR="00986881">
        <w:rPr>
          <w:lang w:val="en-US"/>
        </w:rPr>
        <w:t xml:space="preserve"> </w:t>
      </w:r>
      <w:r w:rsidR="00986881" w:rsidRPr="00A728A6">
        <w:rPr>
          <w:lang w:val="en-US"/>
        </w:rPr>
        <w:t xml:space="preserve">based on </w:t>
      </w:r>
      <w:r w:rsidR="00986881" w:rsidRPr="00A728A6">
        <w:rPr>
          <w:u w:val="single"/>
          <w:lang w:val="en-US"/>
        </w:rPr>
        <w:t>2022</w:t>
      </w:r>
      <w:r w:rsidR="00986881" w:rsidRPr="00A728A6">
        <w:rPr>
          <w:lang w:val="en-US"/>
        </w:rPr>
        <w:t xml:space="preserve"> claims</w:t>
      </w:r>
      <w:r w:rsidRPr="00A728A6">
        <w:rPr>
          <w:lang w:val="en-US"/>
        </w:rPr>
        <w:t>, the</w:t>
      </w:r>
      <w:r>
        <w:rPr>
          <w:lang w:val="en-US"/>
        </w:rPr>
        <w:t xml:space="preserve"> below sample checklist has been developed.</w:t>
      </w:r>
    </w:p>
    <w:tbl>
      <w:tblPr>
        <w:tblStyle w:val="TableGrid"/>
        <w:tblW w:w="10065" w:type="dxa"/>
        <w:tblInd w:w="-1139" w:type="dxa"/>
        <w:tblLayout w:type="fixed"/>
        <w:tblLook w:val="04A0" w:firstRow="1" w:lastRow="0" w:firstColumn="1" w:lastColumn="0" w:noHBand="0" w:noVBand="1"/>
      </w:tblPr>
      <w:tblGrid>
        <w:gridCol w:w="1701"/>
        <w:gridCol w:w="7088"/>
        <w:gridCol w:w="1276"/>
      </w:tblGrid>
      <w:tr w:rsidR="00AB117A" w14:paraId="39288026" w14:textId="77777777" w:rsidTr="003C7F52">
        <w:tc>
          <w:tcPr>
            <w:tcW w:w="1701" w:type="dxa"/>
            <w:shd w:val="clear" w:color="auto" w:fill="007687"/>
          </w:tcPr>
          <w:p w14:paraId="6E99808E" w14:textId="77777777" w:rsidR="00AB117A" w:rsidRPr="00B7285C" w:rsidRDefault="00AB117A" w:rsidP="00332AF9">
            <w:pPr>
              <w:spacing w:before="20" w:after="0" w:line="276" w:lineRule="auto"/>
              <w:rPr>
                <w:rFonts w:cstheme="minorHAnsi"/>
                <w:b/>
                <w:color w:val="FFFFFF" w:themeColor="background1"/>
                <w:sz w:val="20"/>
                <w:szCs w:val="20"/>
                <w:lang w:val="en-GB"/>
              </w:rPr>
            </w:pPr>
            <w:r w:rsidRPr="00B7285C">
              <w:rPr>
                <w:rFonts w:cstheme="minorHAnsi"/>
                <w:b/>
                <w:color w:val="FFFFFF" w:themeColor="background1"/>
                <w:sz w:val="20"/>
                <w:szCs w:val="20"/>
                <w:lang w:val="en-GB"/>
              </w:rPr>
              <w:t>Subsidy/</w:t>
            </w:r>
          </w:p>
          <w:p w14:paraId="11E5A88C" w14:textId="77777777" w:rsidR="00AB117A" w:rsidRPr="00B7285C" w:rsidRDefault="00AB117A" w:rsidP="00332AF9">
            <w:pPr>
              <w:spacing w:after="20" w:line="276" w:lineRule="auto"/>
              <w:rPr>
                <w:rFonts w:cstheme="minorHAnsi"/>
                <w:b/>
                <w:color w:val="FFFFFF" w:themeColor="background1"/>
                <w:sz w:val="20"/>
                <w:szCs w:val="20"/>
                <w:lang w:val="en-GB"/>
              </w:rPr>
            </w:pPr>
            <w:r w:rsidRPr="00B7285C">
              <w:rPr>
                <w:rFonts w:cstheme="minorHAnsi"/>
                <w:b/>
                <w:color w:val="FFFFFF" w:themeColor="background1"/>
                <w:sz w:val="20"/>
                <w:szCs w:val="20"/>
                <w:lang w:val="en-GB"/>
              </w:rPr>
              <w:t>requirement</w:t>
            </w:r>
          </w:p>
        </w:tc>
        <w:tc>
          <w:tcPr>
            <w:tcW w:w="7088" w:type="dxa"/>
            <w:shd w:val="clear" w:color="auto" w:fill="007687"/>
          </w:tcPr>
          <w:p w14:paraId="327FB822" w14:textId="77777777" w:rsidR="00AB117A" w:rsidRPr="00B7285C" w:rsidRDefault="00AB117A" w:rsidP="00332AF9">
            <w:pPr>
              <w:spacing w:before="20" w:after="0" w:line="276" w:lineRule="auto"/>
              <w:rPr>
                <w:rFonts w:cstheme="minorHAnsi"/>
                <w:b/>
                <w:color w:val="FFFFFF" w:themeColor="background1"/>
                <w:sz w:val="20"/>
                <w:szCs w:val="20"/>
                <w:lang w:val="en-GB"/>
              </w:rPr>
            </w:pPr>
            <w:r w:rsidRPr="00B7285C">
              <w:rPr>
                <w:rFonts w:cstheme="minorHAnsi"/>
                <w:b/>
                <w:color w:val="FFFFFF" w:themeColor="background1"/>
                <w:sz w:val="20"/>
                <w:szCs w:val="20"/>
                <w:lang w:val="en-GB"/>
              </w:rPr>
              <w:t>Example evidence</w:t>
            </w:r>
          </w:p>
          <w:p w14:paraId="68C7CFCF" w14:textId="304F54EF" w:rsidR="00AB117A" w:rsidRPr="00B7285C" w:rsidRDefault="00AB117A" w:rsidP="00332AF9">
            <w:pPr>
              <w:spacing w:after="20" w:line="276" w:lineRule="auto"/>
              <w:rPr>
                <w:rFonts w:cstheme="minorHAnsi"/>
                <w:color w:val="FFFFFF" w:themeColor="background1"/>
                <w:sz w:val="20"/>
                <w:szCs w:val="20"/>
                <w:lang w:val="en-GB"/>
              </w:rPr>
            </w:pPr>
            <w:r w:rsidRPr="00B7285C">
              <w:rPr>
                <w:rFonts w:cstheme="minorHAnsi"/>
                <w:color w:val="FFFFFF" w:themeColor="background1"/>
                <w:sz w:val="20"/>
                <w:szCs w:val="20"/>
                <w:lang w:val="en-GB"/>
              </w:rPr>
              <w:t>(</w:t>
            </w:r>
            <w:r w:rsidR="000D0C6E" w:rsidRPr="00B7285C">
              <w:rPr>
                <w:rFonts w:cstheme="minorHAnsi"/>
                <w:color w:val="FFFFFF" w:themeColor="background1"/>
                <w:sz w:val="20"/>
                <w:szCs w:val="20"/>
                <w:lang w:val="en-GB"/>
              </w:rPr>
              <w:t>Dependant</w:t>
            </w:r>
            <w:r w:rsidRPr="00B7285C">
              <w:rPr>
                <w:rFonts w:cstheme="minorHAnsi"/>
                <w:color w:val="FFFFFF" w:themeColor="background1"/>
                <w:sz w:val="20"/>
                <w:szCs w:val="20"/>
                <w:lang w:val="en-GB"/>
              </w:rPr>
              <w:t xml:space="preserve"> on what is required to demonstrate compliance)</w:t>
            </w:r>
          </w:p>
        </w:tc>
        <w:tc>
          <w:tcPr>
            <w:tcW w:w="1276" w:type="dxa"/>
            <w:shd w:val="clear" w:color="auto" w:fill="007687"/>
          </w:tcPr>
          <w:p w14:paraId="547C21C6" w14:textId="77777777" w:rsidR="00AB117A" w:rsidRPr="00B7285C" w:rsidRDefault="00AB117A" w:rsidP="00C752C7">
            <w:pPr>
              <w:spacing w:before="40" w:after="40" w:line="276" w:lineRule="auto"/>
              <w:rPr>
                <w:rFonts w:cstheme="minorHAnsi"/>
                <w:b/>
                <w:color w:val="FFFFFF" w:themeColor="background1"/>
                <w:sz w:val="20"/>
                <w:szCs w:val="20"/>
                <w:lang w:val="en-GB"/>
              </w:rPr>
            </w:pPr>
            <w:r w:rsidRPr="00B7285C">
              <w:rPr>
                <w:rFonts w:cstheme="minorHAnsi"/>
                <w:b/>
                <w:color w:val="FFFFFF" w:themeColor="background1"/>
                <w:sz w:val="20"/>
                <w:szCs w:val="20"/>
                <w:lang w:val="en-GB"/>
              </w:rPr>
              <w:t>Have you attached?</w:t>
            </w:r>
          </w:p>
        </w:tc>
      </w:tr>
      <w:tr w:rsidR="00AB117A" w14:paraId="6226E2B0" w14:textId="77777777" w:rsidTr="003C7F52">
        <w:tc>
          <w:tcPr>
            <w:tcW w:w="1701" w:type="dxa"/>
            <w:shd w:val="clear" w:color="auto" w:fill="auto"/>
          </w:tcPr>
          <w:p w14:paraId="61C8F5C3" w14:textId="77777777" w:rsidR="00AB117A" w:rsidRPr="00B7285C" w:rsidRDefault="00AB117A" w:rsidP="0090276E">
            <w:pPr>
              <w:spacing w:before="40" w:after="0" w:line="276" w:lineRule="auto"/>
              <w:rPr>
                <w:rFonts w:cstheme="minorHAnsi"/>
                <w:b/>
                <w:sz w:val="20"/>
                <w:szCs w:val="20"/>
                <w:lang w:val="en-GB"/>
              </w:rPr>
            </w:pPr>
            <w:r w:rsidRPr="00B7285C">
              <w:rPr>
                <w:rFonts w:cstheme="minorHAnsi"/>
                <w:b/>
                <w:sz w:val="20"/>
                <w:szCs w:val="20"/>
                <w:lang w:val="en-GB"/>
              </w:rPr>
              <w:t>Information request</w:t>
            </w:r>
          </w:p>
        </w:tc>
        <w:tc>
          <w:tcPr>
            <w:tcW w:w="7088" w:type="dxa"/>
            <w:shd w:val="clear" w:color="auto" w:fill="auto"/>
          </w:tcPr>
          <w:p w14:paraId="75893060" w14:textId="77777777" w:rsidR="00AB117A" w:rsidRPr="00B7285C" w:rsidRDefault="00AB117A" w:rsidP="0090276E">
            <w:pPr>
              <w:spacing w:before="40" w:after="0" w:line="276" w:lineRule="auto"/>
              <w:rPr>
                <w:rFonts w:cstheme="minorHAnsi"/>
                <w:sz w:val="20"/>
                <w:szCs w:val="20"/>
                <w:lang w:val="en-GB"/>
              </w:rPr>
            </w:pPr>
            <w:r w:rsidRPr="00B7285C">
              <w:rPr>
                <w:rFonts w:cstheme="minorHAnsi"/>
                <w:b/>
                <w:sz w:val="20"/>
                <w:szCs w:val="20"/>
                <w:u w:val="single"/>
                <w:lang w:val="en-GB"/>
              </w:rPr>
              <w:t>Completed</w:t>
            </w:r>
            <w:r w:rsidRPr="00B7285C">
              <w:rPr>
                <w:rFonts w:cstheme="minorHAnsi"/>
                <w:sz w:val="20"/>
                <w:szCs w:val="20"/>
                <w:lang w:val="en-GB"/>
              </w:rPr>
              <w:t xml:space="preserve"> information gathering form</w:t>
            </w:r>
          </w:p>
        </w:tc>
        <w:sdt>
          <w:sdtPr>
            <w:rPr>
              <w:rFonts w:cstheme="minorHAnsi"/>
              <w:sz w:val="20"/>
              <w:szCs w:val="20"/>
              <w:lang w:val="en-GB"/>
            </w:rPr>
            <w:id w:val="-1933200557"/>
            <w14:checkbox>
              <w14:checked w14:val="0"/>
              <w14:checkedState w14:val="2612" w14:font="MS Gothic"/>
              <w14:uncheckedState w14:val="2610" w14:font="MS Gothic"/>
            </w14:checkbox>
          </w:sdtPr>
          <w:sdtEndPr/>
          <w:sdtContent>
            <w:tc>
              <w:tcPr>
                <w:tcW w:w="1276" w:type="dxa"/>
                <w:shd w:val="clear" w:color="auto" w:fill="auto"/>
                <w:vAlign w:val="center"/>
              </w:tcPr>
              <w:p w14:paraId="2B11BA5A"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1245A6C4" w14:textId="77777777" w:rsidTr="003C7F52">
        <w:tc>
          <w:tcPr>
            <w:tcW w:w="1701" w:type="dxa"/>
            <w:vMerge w:val="restart"/>
            <w:shd w:val="clear" w:color="auto" w:fill="auto"/>
          </w:tcPr>
          <w:p w14:paraId="08D36B88" w14:textId="77777777" w:rsidR="00AB117A" w:rsidRPr="00B7285C" w:rsidRDefault="00AB117A" w:rsidP="0090276E">
            <w:pPr>
              <w:spacing w:before="40" w:after="0" w:line="276" w:lineRule="auto"/>
              <w:rPr>
                <w:rFonts w:cstheme="minorHAnsi"/>
                <w:b/>
                <w:sz w:val="20"/>
                <w:szCs w:val="20"/>
                <w:lang w:val="en-GB"/>
              </w:rPr>
            </w:pPr>
            <w:r w:rsidRPr="00B7285C">
              <w:rPr>
                <w:rFonts w:cstheme="minorHAnsi"/>
                <w:b/>
                <w:sz w:val="20"/>
                <w:szCs w:val="20"/>
                <w:lang w:val="en-GB"/>
              </w:rPr>
              <w:t>ECT qualifications</w:t>
            </w:r>
          </w:p>
        </w:tc>
        <w:tc>
          <w:tcPr>
            <w:tcW w:w="7088" w:type="dxa"/>
            <w:shd w:val="clear" w:color="auto" w:fill="auto"/>
          </w:tcPr>
          <w:p w14:paraId="31D101F8" w14:textId="77777777" w:rsidR="00AB117A" w:rsidRPr="00B7285C" w:rsidRDefault="00AB117A" w:rsidP="0090276E">
            <w:pPr>
              <w:spacing w:before="40" w:after="0" w:line="276" w:lineRule="auto"/>
              <w:rPr>
                <w:rFonts w:cstheme="minorHAnsi"/>
                <w:sz w:val="20"/>
                <w:szCs w:val="20"/>
                <w:lang w:val="en-GB"/>
              </w:rPr>
            </w:pPr>
            <w:r w:rsidRPr="00B7285C">
              <w:rPr>
                <w:rFonts w:cstheme="minorHAnsi"/>
                <w:b/>
                <w:sz w:val="20"/>
                <w:szCs w:val="20"/>
                <w:u w:val="single"/>
                <w:lang w:val="en-GB"/>
              </w:rPr>
              <w:t>Completed</w:t>
            </w:r>
            <w:r w:rsidRPr="00B7285C">
              <w:rPr>
                <w:rFonts w:cstheme="minorHAnsi"/>
                <w:sz w:val="20"/>
                <w:szCs w:val="20"/>
                <w:lang w:val="en-GB"/>
              </w:rPr>
              <w:t xml:space="preserve"> ECT information and qualification form for </w:t>
            </w:r>
            <w:r w:rsidRPr="00B7285C">
              <w:rPr>
                <w:rFonts w:cstheme="minorHAnsi"/>
                <w:sz w:val="20"/>
                <w:szCs w:val="20"/>
                <w:u w:val="single"/>
                <w:lang w:val="en-GB"/>
              </w:rPr>
              <w:t>each ECT</w:t>
            </w:r>
            <w:r w:rsidRPr="00B7285C">
              <w:rPr>
                <w:rFonts w:cstheme="minorHAnsi"/>
                <w:sz w:val="20"/>
                <w:szCs w:val="20"/>
                <w:lang w:val="en-GB"/>
              </w:rPr>
              <w:t xml:space="preserve"> engaged to deliver the approved kindergarten program</w:t>
            </w:r>
          </w:p>
        </w:tc>
        <w:sdt>
          <w:sdtPr>
            <w:rPr>
              <w:rFonts w:cstheme="minorHAnsi"/>
              <w:sz w:val="20"/>
              <w:szCs w:val="20"/>
              <w:lang w:val="en-GB"/>
            </w:rPr>
            <w:id w:val="-730308003"/>
            <w14:checkbox>
              <w14:checked w14:val="0"/>
              <w14:checkedState w14:val="2612" w14:font="MS Gothic"/>
              <w14:uncheckedState w14:val="2610" w14:font="MS Gothic"/>
            </w14:checkbox>
          </w:sdtPr>
          <w:sdtEndPr/>
          <w:sdtContent>
            <w:tc>
              <w:tcPr>
                <w:tcW w:w="1276" w:type="dxa"/>
                <w:shd w:val="clear" w:color="auto" w:fill="auto"/>
                <w:vAlign w:val="center"/>
              </w:tcPr>
              <w:p w14:paraId="3A455E76"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7F09965A" w14:textId="77777777" w:rsidTr="003C7F52">
        <w:tc>
          <w:tcPr>
            <w:tcW w:w="1701" w:type="dxa"/>
            <w:vMerge/>
            <w:shd w:val="clear" w:color="auto" w:fill="auto"/>
          </w:tcPr>
          <w:p w14:paraId="151B7523" w14:textId="77777777" w:rsidR="00AB117A" w:rsidRPr="00B7285C" w:rsidRDefault="00AB117A" w:rsidP="0090276E">
            <w:pPr>
              <w:spacing w:before="40" w:after="0" w:line="276" w:lineRule="auto"/>
              <w:rPr>
                <w:rFonts w:cstheme="minorHAnsi"/>
                <w:b/>
                <w:sz w:val="20"/>
                <w:szCs w:val="20"/>
                <w:lang w:val="en-GB"/>
              </w:rPr>
            </w:pPr>
          </w:p>
        </w:tc>
        <w:tc>
          <w:tcPr>
            <w:tcW w:w="7088" w:type="dxa"/>
            <w:shd w:val="clear" w:color="auto" w:fill="auto"/>
          </w:tcPr>
          <w:p w14:paraId="59698193"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 xml:space="preserve">ECT qualifications as listed on the </w:t>
            </w:r>
            <w:hyperlink r:id="rId16" w:history="1">
              <w:r w:rsidRPr="00B7285C">
                <w:rPr>
                  <w:rStyle w:val="Hyperlink"/>
                  <w:rFonts w:cstheme="minorHAnsi"/>
                  <w:sz w:val="20"/>
                  <w:szCs w:val="20"/>
                  <w:lang w:val="en-GB"/>
                </w:rPr>
                <w:t>ACECQA website</w:t>
              </w:r>
            </w:hyperlink>
            <w:r w:rsidRPr="00B7285C">
              <w:rPr>
                <w:rFonts w:cstheme="minorHAnsi"/>
                <w:sz w:val="20"/>
                <w:szCs w:val="20"/>
                <w:lang w:val="en-GB"/>
              </w:rPr>
              <w:t xml:space="preserve"> and academic transcript showing any applicable study majors</w:t>
            </w:r>
          </w:p>
        </w:tc>
        <w:sdt>
          <w:sdtPr>
            <w:rPr>
              <w:rFonts w:cstheme="minorHAnsi"/>
              <w:sz w:val="20"/>
              <w:szCs w:val="20"/>
              <w:lang w:val="en-GB"/>
            </w:rPr>
            <w:id w:val="-464893320"/>
            <w14:checkbox>
              <w14:checked w14:val="0"/>
              <w14:checkedState w14:val="2612" w14:font="MS Gothic"/>
              <w14:uncheckedState w14:val="2610" w14:font="MS Gothic"/>
            </w14:checkbox>
          </w:sdtPr>
          <w:sdtEndPr/>
          <w:sdtContent>
            <w:tc>
              <w:tcPr>
                <w:tcW w:w="1276" w:type="dxa"/>
                <w:shd w:val="clear" w:color="auto" w:fill="auto"/>
                <w:vAlign w:val="center"/>
              </w:tcPr>
              <w:p w14:paraId="3F9CD7A4"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48BC35B0" w14:textId="77777777" w:rsidTr="003C7F52">
        <w:tc>
          <w:tcPr>
            <w:tcW w:w="1701" w:type="dxa"/>
            <w:vMerge/>
            <w:shd w:val="clear" w:color="auto" w:fill="auto"/>
          </w:tcPr>
          <w:p w14:paraId="2DD9EA7D" w14:textId="77777777" w:rsidR="00AB117A" w:rsidRPr="00B7285C" w:rsidRDefault="00AB117A" w:rsidP="0090276E">
            <w:pPr>
              <w:spacing w:before="40" w:after="0" w:line="276" w:lineRule="auto"/>
              <w:rPr>
                <w:rFonts w:cstheme="minorHAnsi"/>
                <w:b/>
                <w:sz w:val="20"/>
                <w:szCs w:val="20"/>
                <w:lang w:val="en-GB"/>
              </w:rPr>
            </w:pPr>
          </w:p>
        </w:tc>
        <w:tc>
          <w:tcPr>
            <w:tcW w:w="7088" w:type="dxa"/>
            <w:shd w:val="clear" w:color="auto" w:fill="auto"/>
          </w:tcPr>
          <w:p w14:paraId="1C05978D"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Teaching qualifications, teacher registration/accreditation and approved certificate III level or higher qualification</w:t>
            </w:r>
          </w:p>
        </w:tc>
        <w:sdt>
          <w:sdtPr>
            <w:rPr>
              <w:rFonts w:cstheme="minorHAnsi"/>
              <w:sz w:val="20"/>
              <w:szCs w:val="20"/>
              <w:lang w:val="en-GB"/>
            </w:rPr>
            <w:id w:val="529302077"/>
            <w14:checkbox>
              <w14:checked w14:val="0"/>
              <w14:checkedState w14:val="2612" w14:font="MS Gothic"/>
              <w14:uncheckedState w14:val="2610" w14:font="MS Gothic"/>
            </w14:checkbox>
          </w:sdtPr>
          <w:sdtEndPr/>
          <w:sdtContent>
            <w:tc>
              <w:tcPr>
                <w:tcW w:w="1276" w:type="dxa"/>
                <w:shd w:val="clear" w:color="auto" w:fill="auto"/>
                <w:vAlign w:val="center"/>
              </w:tcPr>
              <w:p w14:paraId="1D93C368"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73D8ADFB" w14:textId="77777777" w:rsidTr="003C7F52">
        <w:tc>
          <w:tcPr>
            <w:tcW w:w="1701" w:type="dxa"/>
            <w:vMerge/>
            <w:shd w:val="clear" w:color="auto" w:fill="auto"/>
          </w:tcPr>
          <w:p w14:paraId="776470A8" w14:textId="77777777" w:rsidR="00AB117A" w:rsidRPr="00B7285C" w:rsidRDefault="00AB117A" w:rsidP="0090276E">
            <w:pPr>
              <w:spacing w:before="40" w:after="0" w:line="276" w:lineRule="auto"/>
              <w:rPr>
                <w:rFonts w:cstheme="minorHAnsi"/>
                <w:b/>
                <w:sz w:val="20"/>
                <w:szCs w:val="20"/>
                <w:lang w:val="en-GB"/>
              </w:rPr>
            </w:pPr>
          </w:p>
        </w:tc>
        <w:tc>
          <w:tcPr>
            <w:tcW w:w="7088" w:type="dxa"/>
            <w:shd w:val="clear" w:color="auto" w:fill="auto"/>
          </w:tcPr>
          <w:p w14:paraId="6342E76C"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ACECQA approval letter confirming equivalence of ECT qualifications</w:t>
            </w:r>
          </w:p>
        </w:tc>
        <w:sdt>
          <w:sdtPr>
            <w:rPr>
              <w:rFonts w:cstheme="minorHAnsi"/>
              <w:sz w:val="20"/>
              <w:szCs w:val="20"/>
              <w:lang w:val="en-GB"/>
            </w:rPr>
            <w:id w:val="-1219661760"/>
            <w14:checkbox>
              <w14:checked w14:val="0"/>
              <w14:checkedState w14:val="2612" w14:font="MS Gothic"/>
              <w14:uncheckedState w14:val="2610" w14:font="MS Gothic"/>
            </w14:checkbox>
          </w:sdtPr>
          <w:sdtEndPr/>
          <w:sdtContent>
            <w:tc>
              <w:tcPr>
                <w:tcW w:w="1276" w:type="dxa"/>
                <w:shd w:val="clear" w:color="auto" w:fill="auto"/>
                <w:vAlign w:val="center"/>
              </w:tcPr>
              <w:p w14:paraId="18B506F5"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0AFA24E9" w14:textId="77777777" w:rsidTr="003C7F52">
        <w:tc>
          <w:tcPr>
            <w:tcW w:w="1701" w:type="dxa"/>
            <w:vMerge/>
            <w:shd w:val="clear" w:color="auto" w:fill="auto"/>
          </w:tcPr>
          <w:p w14:paraId="5A97733D" w14:textId="77777777" w:rsidR="00AB117A" w:rsidRPr="00B7285C" w:rsidRDefault="00AB117A" w:rsidP="0090276E">
            <w:pPr>
              <w:spacing w:before="40" w:after="0" w:line="276" w:lineRule="auto"/>
              <w:rPr>
                <w:rFonts w:cstheme="minorHAnsi"/>
                <w:b/>
                <w:sz w:val="20"/>
                <w:szCs w:val="20"/>
                <w:lang w:val="en-GB"/>
              </w:rPr>
            </w:pPr>
          </w:p>
        </w:tc>
        <w:tc>
          <w:tcPr>
            <w:tcW w:w="7088" w:type="dxa"/>
            <w:shd w:val="clear" w:color="auto" w:fill="auto"/>
          </w:tcPr>
          <w:p w14:paraId="7F2CCB24"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QKFS Teacher Recognition letter supplied by the Department of Education and teacher registration (if required)</w:t>
            </w:r>
          </w:p>
        </w:tc>
        <w:sdt>
          <w:sdtPr>
            <w:rPr>
              <w:rFonts w:cstheme="minorHAnsi"/>
              <w:sz w:val="20"/>
              <w:szCs w:val="20"/>
              <w:lang w:val="en-GB"/>
            </w:rPr>
            <w:id w:val="-1448461436"/>
            <w14:checkbox>
              <w14:checked w14:val="0"/>
              <w14:checkedState w14:val="2612" w14:font="MS Gothic"/>
              <w14:uncheckedState w14:val="2610" w14:font="MS Gothic"/>
            </w14:checkbox>
          </w:sdtPr>
          <w:sdtEndPr/>
          <w:sdtContent>
            <w:tc>
              <w:tcPr>
                <w:tcW w:w="1276" w:type="dxa"/>
                <w:shd w:val="clear" w:color="auto" w:fill="auto"/>
                <w:vAlign w:val="center"/>
              </w:tcPr>
              <w:p w14:paraId="747A1810"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4034221D" w14:textId="77777777" w:rsidTr="003C7F52">
        <w:tc>
          <w:tcPr>
            <w:tcW w:w="1701" w:type="dxa"/>
            <w:vMerge/>
            <w:shd w:val="clear" w:color="auto" w:fill="auto"/>
          </w:tcPr>
          <w:p w14:paraId="3966C54D" w14:textId="77777777" w:rsidR="00AB117A" w:rsidRPr="00B7285C" w:rsidRDefault="00AB117A" w:rsidP="0090276E">
            <w:pPr>
              <w:spacing w:before="40" w:after="0" w:line="276" w:lineRule="auto"/>
              <w:rPr>
                <w:rFonts w:cstheme="minorHAnsi"/>
                <w:b/>
                <w:sz w:val="20"/>
                <w:szCs w:val="20"/>
                <w:lang w:val="en-GB"/>
              </w:rPr>
            </w:pPr>
          </w:p>
        </w:tc>
        <w:tc>
          <w:tcPr>
            <w:tcW w:w="7088" w:type="dxa"/>
            <w:shd w:val="clear" w:color="auto" w:fill="auto"/>
          </w:tcPr>
          <w:p w14:paraId="36ABFFD4" w14:textId="77777777" w:rsidR="00AB117A" w:rsidRPr="00B7285C" w:rsidRDefault="00AB117A" w:rsidP="0090276E">
            <w:pPr>
              <w:spacing w:before="40" w:after="0" w:line="276" w:lineRule="auto"/>
              <w:rPr>
                <w:rFonts w:cstheme="minorHAnsi"/>
                <w:sz w:val="20"/>
                <w:szCs w:val="20"/>
                <w:lang w:val="en-GB"/>
              </w:rPr>
            </w:pPr>
            <w:r w:rsidRPr="00B7285C">
              <w:rPr>
                <w:rFonts w:cstheme="minorHAnsi"/>
                <w:iCs/>
                <w:sz w:val="20"/>
                <w:szCs w:val="20"/>
                <w:lang w:val="en-GB"/>
              </w:rPr>
              <w:t>Working towards ECT</w:t>
            </w:r>
            <w:r w:rsidRPr="00B7285C">
              <w:rPr>
                <w:rFonts w:cstheme="minorHAnsi"/>
                <w:i/>
                <w:sz w:val="20"/>
                <w:szCs w:val="20"/>
                <w:lang w:val="en-GB"/>
              </w:rPr>
              <w:t xml:space="preserve"> </w:t>
            </w:r>
            <w:r w:rsidRPr="00B7285C">
              <w:rPr>
                <w:rFonts w:cstheme="minorHAnsi"/>
                <w:sz w:val="20"/>
                <w:szCs w:val="20"/>
                <w:lang w:val="en-GB"/>
              </w:rPr>
              <w:t xml:space="preserve">- </w:t>
            </w:r>
            <w:r w:rsidRPr="00B7285C">
              <w:rPr>
                <w:rFonts w:cstheme="minorHAnsi"/>
                <w:sz w:val="20"/>
                <w:szCs w:val="20"/>
                <w:u w:val="single"/>
                <w:lang w:val="en-GB"/>
              </w:rPr>
              <w:t>Current</w:t>
            </w:r>
            <w:r w:rsidRPr="00B7285C">
              <w:rPr>
                <w:rFonts w:cstheme="minorHAnsi"/>
                <w:sz w:val="20"/>
                <w:szCs w:val="20"/>
                <w:lang w:val="en-GB"/>
              </w:rPr>
              <w:t xml:space="preserve"> academic transcript identifying all completed and enrolled subjects and an approved diploma level qualification (if required)</w:t>
            </w:r>
          </w:p>
        </w:tc>
        <w:sdt>
          <w:sdtPr>
            <w:rPr>
              <w:rFonts w:cstheme="minorHAnsi"/>
              <w:sz w:val="20"/>
              <w:szCs w:val="20"/>
              <w:lang w:val="en-GB"/>
            </w:rPr>
            <w:id w:val="-1953245812"/>
            <w14:checkbox>
              <w14:checked w14:val="0"/>
              <w14:checkedState w14:val="2612" w14:font="MS Gothic"/>
              <w14:uncheckedState w14:val="2610" w14:font="MS Gothic"/>
            </w14:checkbox>
          </w:sdtPr>
          <w:sdtEndPr/>
          <w:sdtContent>
            <w:tc>
              <w:tcPr>
                <w:tcW w:w="1276" w:type="dxa"/>
                <w:shd w:val="clear" w:color="auto" w:fill="auto"/>
                <w:vAlign w:val="center"/>
              </w:tcPr>
              <w:p w14:paraId="7F822E38"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56814743" w14:textId="77777777" w:rsidTr="003C7F52">
        <w:tc>
          <w:tcPr>
            <w:tcW w:w="1701" w:type="dxa"/>
            <w:vMerge w:val="restart"/>
          </w:tcPr>
          <w:p w14:paraId="2B0D9179" w14:textId="77777777" w:rsidR="00AB117A" w:rsidRPr="00B7285C" w:rsidRDefault="00AB117A" w:rsidP="0090276E">
            <w:pPr>
              <w:spacing w:before="40" w:after="0" w:line="276" w:lineRule="auto"/>
              <w:rPr>
                <w:rFonts w:cstheme="minorHAnsi"/>
                <w:b/>
                <w:sz w:val="20"/>
                <w:szCs w:val="20"/>
                <w:lang w:val="en-GB"/>
              </w:rPr>
            </w:pPr>
            <w:r w:rsidRPr="00B7285C">
              <w:rPr>
                <w:rFonts w:cstheme="minorHAnsi"/>
                <w:b/>
                <w:sz w:val="20"/>
                <w:szCs w:val="20"/>
                <w:lang w:val="en-GB"/>
              </w:rPr>
              <w:t>Standard Subsidy</w:t>
            </w:r>
          </w:p>
        </w:tc>
        <w:tc>
          <w:tcPr>
            <w:tcW w:w="7088" w:type="dxa"/>
          </w:tcPr>
          <w:p w14:paraId="429287C1" w14:textId="77777777" w:rsidR="00AB117A" w:rsidRPr="00B7285C" w:rsidRDefault="00AB117A" w:rsidP="0090276E">
            <w:pPr>
              <w:spacing w:before="40" w:after="0" w:line="276" w:lineRule="auto"/>
              <w:rPr>
                <w:rFonts w:cstheme="minorHAnsi"/>
                <w:sz w:val="20"/>
                <w:szCs w:val="20"/>
                <w:lang w:val="en-GB"/>
              </w:rPr>
            </w:pPr>
            <w:r w:rsidRPr="00B7285C">
              <w:rPr>
                <w:rFonts w:cstheme="minorHAnsi"/>
                <w:b/>
                <w:sz w:val="20"/>
                <w:szCs w:val="20"/>
                <w:u w:val="single"/>
                <w:lang w:val="en-GB"/>
              </w:rPr>
              <w:t>Completed</w:t>
            </w:r>
            <w:r w:rsidRPr="00B7285C">
              <w:rPr>
                <w:rFonts w:cstheme="minorHAnsi"/>
                <w:sz w:val="20"/>
                <w:szCs w:val="20"/>
                <w:lang w:val="en-GB"/>
              </w:rPr>
              <w:t xml:space="preserve"> expenditure table with applicable calculations</w:t>
            </w:r>
          </w:p>
        </w:tc>
        <w:sdt>
          <w:sdtPr>
            <w:rPr>
              <w:rFonts w:cstheme="minorHAnsi"/>
              <w:sz w:val="20"/>
              <w:szCs w:val="20"/>
              <w:lang w:val="en-GB"/>
            </w:rPr>
            <w:id w:val="-946771428"/>
            <w14:checkbox>
              <w14:checked w14:val="0"/>
              <w14:checkedState w14:val="2612" w14:font="MS Gothic"/>
              <w14:uncheckedState w14:val="2610" w14:font="MS Gothic"/>
            </w14:checkbox>
          </w:sdtPr>
          <w:sdtEndPr/>
          <w:sdtContent>
            <w:tc>
              <w:tcPr>
                <w:tcW w:w="1276" w:type="dxa"/>
                <w:shd w:val="clear" w:color="auto" w:fill="auto"/>
                <w:vAlign w:val="center"/>
              </w:tcPr>
              <w:p w14:paraId="0A6EC4D1"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1088400E" w14:textId="77777777" w:rsidTr="003C7F52">
        <w:tc>
          <w:tcPr>
            <w:tcW w:w="1701" w:type="dxa"/>
            <w:vMerge/>
          </w:tcPr>
          <w:p w14:paraId="3897BE2A" w14:textId="77777777" w:rsidR="00AB117A" w:rsidRPr="00B7285C" w:rsidRDefault="00AB117A" w:rsidP="0090276E">
            <w:pPr>
              <w:spacing w:before="40" w:after="0" w:line="276" w:lineRule="auto"/>
              <w:rPr>
                <w:rFonts w:cstheme="minorHAnsi"/>
                <w:b/>
                <w:sz w:val="20"/>
                <w:szCs w:val="20"/>
                <w:lang w:val="en-GB"/>
              </w:rPr>
            </w:pPr>
          </w:p>
        </w:tc>
        <w:tc>
          <w:tcPr>
            <w:tcW w:w="7088" w:type="dxa"/>
          </w:tcPr>
          <w:p w14:paraId="30672F85"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Receipts (</w:t>
            </w:r>
            <w:proofErr w:type="gramStart"/>
            <w:r w:rsidRPr="00B7285C">
              <w:rPr>
                <w:rFonts w:cstheme="minorHAnsi"/>
                <w:sz w:val="20"/>
                <w:szCs w:val="20"/>
                <w:lang w:val="en-GB"/>
              </w:rPr>
              <w:t>e.g.</w:t>
            </w:r>
            <w:proofErr w:type="gramEnd"/>
            <w:r w:rsidRPr="00B7285C">
              <w:rPr>
                <w:rFonts w:cstheme="minorHAnsi"/>
                <w:sz w:val="20"/>
                <w:szCs w:val="20"/>
                <w:lang w:val="en-GB"/>
              </w:rPr>
              <w:t xml:space="preserve"> children’s/ECT resources, ECT professional development and extracurricular activities)</w:t>
            </w:r>
          </w:p>
        </w:tc>
        <w:sdt>
          <w:sdtPr>
            <w:rPr>
              <w:rFonts w:cstheme="minorHAnsi"/>
              <w:sz w:val="20"/>
              <w:szCs w:val="20"/>
              <w:lang w:val="en-GB"/>
            </w:rPr>
            <w:id w:val="477272958"/>
            <w14:checkbox>
              <w14:checked w14:val="0"/>
              <w14:checkedState w14:val="2612" w14:font="MS Gothic"/>
              <w14:uncheckedState w14:val="2610" w14:font="MS Gothic"/>
            </w14:checkbox>
          </w:sdtPr>
          <w:sdtEndPr/>
          <w:sdtContent>
            <w:tc>
              <w:tcPr>
                <w:tcW w:w="1276" w:type="dxa"/>
                <w:shd w:val="clear" w:color="auto" w:fill="auto"/>
                <w:vAlign w:val="center"/>
              </w:tcPr>
              <w:p w14:paraId="0196C821"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05E6E516" w14:textId="77777777" w:rsidTr="003C7F52">
        <w:tc>
          <w:tcPr>
            <w:tcW w:w="1701" w:type="dxa"/>
            <w:vMerge/>
          </w:tcPr>
          <w:p w14:paraId="560E170D" w14:textId="77777777" w:rsidR="00AB117A" w:rsidRPr="00B7285C" w:rsidRDefault="00AB117A" w:rsidP="0090276E">
            <w:pPr>
              <w:spacing w:before="40" w:after="0" w:line="276" w:lineRule="auto"/>
              <w:rPr>
                <w:rFonts w:cstheme="minorHAnsi"/>
                <w:b/>
                <w:sz w:val="20"/>
                <w:szCs w:val="20"/>
                <w:lang w:val="en-GB"/>
              </w:rPr>
            </w:pPr>
          </w:p>
        </w:tc>
        <w:tc>
          <w:tcPr>
            <w:tcW w:w="7088" w:type="dxa"/>
          </w:tcPr>
          <w:p w14:paraId="75973B61"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Calculations completed for fee reduction, with supporting fee structure, reports and family fee statements</w:t>
            </w:r>
          </w:p>
        </w:tc>
        <w:sdt>
          <w:sdtPr>
            <w:rPr>
              <w:rFonts w:cstheme="minorHAnsi"/>
              <w:sz w:val="20"/>
              <w:szCs w:val="20"/>
              <w:lang w:val="en-GB"/>
            </w:rPr>
            <w:id w:val="-1814011972"/>
            <w14:checkbox>
              <w14:checked w14:val="0"/>
              <w14:checkedState w14:val="2612" w14:font="MS Gothic"/>
              <w14:uncheckedState w14:val="2610" w14:font="MS Gothic"/>
            </w14:checkbox>
          </w:sdtPr>
          <w:sdtEndPr/>
          <w:sdtContent>
            <w:tc>
              <w:tcPr>
                <w:tcW w:w="1276" w:type="dxa"/>
                <w:shd w:val="clear" w:color="auto" w:fill="auto"/>
                <w:vAlign w:val="center"/>
              </w:tcPr>
              <w:p w14:paraId="45CDDEBD"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4C484CB5" w14:textId="77777777" w:rsidTr="003C7F52">
        <w:tc>
          <w:tcPr>
            <w:tcW w:w="1701" w:type="dxa"/>
            <w:vMerge/>
          </w:tcPr>
          <w:p w14:paraId="05EF2A1A" w14:textId="77777777" w:rsidR="00AB117A" w:rsidRPr="00B7285C" w:rsidRDefault="00AB117A" w:rsidP="0090276E">
            <w:pPr>
              <w:spacing w:before="40" w:after="0" w:line="276" w:lineRule="auto"/>
              <w:rPr>
                <w:rFonts w:cstheme="minorHAnsi"/>
                <w:b/>
                <w:sz w:val="20"/>
                <w:szCs w:val="20"/>
                <w:lang w:val="en-GB"/>
              </w:rPr>
            </w:pPr>
          </w:p>
        </w:tc>
        <w:tc>
          <w:tcPr>
            <w:tcW w:w="7088" w:type="dxa"/>
          </w:tcPr>
          <w:p w14:paraId="432EE842"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Calculations completed for ECT improved entitlements, with supporting ECT payslips/employment contract</w:t>
            </w:r>
          </w:p>
        </w:tc>
        <w:sdt>
          <w:sdtPr>
            <w:rPr>
              <w:rFonts w:cstheme="minorHAnsi"/>
              <w:sz w:val="20"/>
              <w:szCs w:val="20"/>
              <w:lang w:val="en-GB"/>
            </w:rPr>
            <w:id w:val="386150896"/>
            <w14:checkbox>
              <w14:checked w14:val="0"/>
              <w14:checkedState w14:val="2612" w14:font="MS Gothic"/>
              <w14:uncheckedState w14:val="2610" w14:font="MS Gothic"/>
            </w14:checkbox>
          </w:sdtPr>
          <w:sdtEndPr/>
          <w:sdtContent>
            <w:tc>
              <w:tcPr>
                <w:tcW w:w="1276" w:type="dxa"/>
                <w:shd w:val="clear" w:color="auto" w:fill="auto"/>
                <w:vAlign w:val="center"/>
              </w:tcPr>
              <w:p w14:paraId="79910A62"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319C14FD" w14:textId="77777777" w:rsidTr="003C7F52">
        <w:tc>
          <w:tcPr>
            <w:tcW w:w="1701" w:type="dxa"/>
            <w:vMerge w:val="restart"/>
          </w:tcPr>
          <w:p w14:paraId="0CB3A661" w14:textId="77777777" w:rsidR="00AB117A" w:rsidRPr="00B7285C" w:rsidRDefault="00AB117A" w:rsidP="0090276E">
            <w:pPr>
              <w:spacing w:before="40" w:after="0" w:line="276" w:lineRule="auto"/>
              <w:rPr>
                <w:rFonts w:cstheme="minorHAnsi"/>
                <w:b/>
                <w:sz w:val="20"/>
                <w:szCs w:val="20"/>
                <w:lang w:val="en-GB"/>
              </w:rPr>
            </w:pPr>
            <w:r w:rsidRPr="00B7285C">
              <w:rPr>
                <w:rFonts w:cstheme="minorHAnsi"/>
                <w:b/>
                <w:sz w:val="20"/>
                <w:szCs w:val="20"/>
                <w:lang w:val="en-GB"/>
              </w:rPr>
              <w:t>ARIA</w:t>
            </w:r>
          </w:p>
        </w:tc>
        <w:tc>
          <w:tcPr>
            <w:tcW w:w="7088" w:type="dxa"/>
          </w:tcPr>
          <w:p w14:paraId="63029CEB"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Receipts (</w:t>
            </w:r>
            <w:proofErr w:type="gramStart"/>
            <w:r w:rsidRPr="00B7285C">
              <w:rPr>
                <w:rFonts w:cstheme="minorHAnsi"/>
                <w:sz w:val="20"/>
                <w:szCs w:val="20"/>
                <w:lang w:val="en-GB"/>
              </w:rPr>
              <w:t>e.g.</w:t>
            </w:r>
            <w:proofErr w:type="gramEnd"/>
            <w:r w:rsidRPr="00B7285C">
              <w:rPr>
                <w:rFonts w:cstheme="minorHAnsi"/>
                <w:sz w:val="20"/>
                <w:szCs w:val="20"/>
                <w:lang w:val="en-GB"/>
              </w:rPr>
              <w:t xml:space="preserve"> relocation costs, accommodation costs, flights, ECT professional development and any applicable study support costs)</w:t>
            </w:r>
          </w:p>
        </w:tc>
        <w:sdt>
          <w:sdtPr>
            <w:rPr>
              <w:rFonts w:cstheme="minorHAnsi"/>
              <w:sz w:val="20"/>
              <w:szCs w:val="20"/>
              <w:lang w:val="en-GB"/>
            </w:rPr>
            <w:id w:val="258807651"/>
            <w14:checkbox>
              <w14:checked w14:val="0"/>
              <w14:checkedState w14:val="2612" w14:font="MS Gothic"/>
              <w14:uncheckedState w14:val="2610" w14:font="MS Gothic"/>
            </w14:checkbox>
          </w:sdtPr>
          <w:sdtEndPr/>
          <w:sdtContent>
            <w:tc>
              <w:tcPr>
                <w:tcW w:w="1276" w:type="dxa"/>
                <w:shd w:val="clear" w:color="auto" w:fill="auto"/>
                <w:vAlign w:val="center"/>
              </w:tcPr>
              <w:p w14:paraId="764AE0B9"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218CA9A7" w14:textId="77777777" w:rsidTr="003C7F52">
        <w:tc>
          <w:tcPr>
            <w:tcW w:w="1701" w:type="dxa"/>
            <w:vMerge/>
          </w:tcPr>
          <w:p w14:paraId="4BDE0A72" w14:textId="77777777" w:rsidR="00AB117A" w:rsidRPr="00B7285C" w:rsidRDefault="00AB117A" w:rsidP="0090276E">
            <w:pPr>
              <w:spacing w:before="40" w:after="0" w:line="276" w:lineRule="auto"/>
              <w:rPr>
                <w:rFonts w:cstheme="minorHAnsi"/>
                <w:b/>
                <w:sz w:val="20"/>
                <w:szCs w:val="20"/>
                <w:lang w:val="en-GB"/>
              </w:rPr>
            </w:pPr>
          </w:p>
        </w:tc>
        <w:tc>
          <w:tcPr>
            <w:tcW w:w="7088" w:type="dxa"/>
          </w:tcPr>
          <w:p w14:paraId="20439DC5"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Calculations completed for ECT improved entitlements, with supporting ECT payslips/employment contract</w:t>
            </w:r>
          </w:p>
        </w:tc>
        <w:sdt>
          <w:sdtPr>
            <w:rPr>
              <w:rFonts w:cstheme="minorHAnsi"/>
              <w:sz w:val="20"/>
              <w:szCs w:val="20"/>
              <w:lang w:val="en-GB"/>
            </w:rPr>
            <w:id w:val="2053729561"/>
            <w14:checkbox>
              <w14:checked w14:val="0"/>
              <w14:checkedState w14:val="2612" w14:font="MS Gothic"/>
              <w14:uncheckedState w14:val="2610" w14:font="MS Gothic"/>
            </w14:checkbox>
          </w:sdtPr>
          <w:sdtEndPr/>
          <w:sdtContent>
            <w:tc>
              <w:tcPr>
                <w:tcW w:w="1276" w:type="dxa"/>
                <w:shd w:val="clear" w:color="auto" w:fill="auto"/>
                <w:vAlign w:val="center"/>
              </w:tcPr>
              <w:p w14:paraId="5D0846B0"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45BF6163" w14:textId="77777777" w:rsidTr="003C7F52">
        <w:tc>
          <w:tcPr>
            <w:tcW w:w="1701" w:type="dxa"/>
          </w:tcPr>
          <w:p w14:paraId="2C552BBC" w14:textId="77777777" w:rsidR="00AB117A" w:rsidRPr="00B7285C" w:rsidRDefault="00AB117A" w:rsidP="0090276E">
            <w:pPr>
              <w:spacing w:before="40" w:after="0" w:line="276" w:lineRule="auto"/>
              <w:rPr>
                <w:rFonts w:cstheme="minorHAnsi"/>
                <w:b/>
                <w:sz w:val="20"/>
                <w:szCs w:val="20"/>
                <w:lang w:val="en-GB"/>
              </w:rPr>
            </w:pPr>
            <w:r w:rsidRPr="00B7285C">
              <w:rPr>
                <w:rFonts w:cstheme="minorHAnsi"/>
                <w:b/>
                <w:sz w:val="20"/>
                <w:szCs w:val="20"/>
                <w:lang w:val="en-GB"/>
              </w:rPr>
              <w:t>SEIFA</w:t>
            </w:r>
          </w:p>
        </w:tc>
        <w:tc>
          <w:tcPr>
            <w:tcW w:w="7088" w:type="dxa"/>
          </w:tcPr>
          <w:p w14:paraId="5A7B8A63" w14:textId="4A2C7C3A"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 xml:space="preserve">Calculations completed for fee reduction, with supporting </w:t>
            </w:r>
            <w:r w:rsidR="005D1523">
              <w:rPr>
                <w:rFonts w:cstheme="minorHAnsi"/>
                <w:sz w:val="20"/>
                <w:szCs w:val="20"/>
                <w:lang w:val="en-GB"/>
              </w:rPr>
              <w:t>f</w:t>
            </w:r>
            <w:r w:rsidR="005D1523" w:rsidRPr="005D1523">
              <w:rPr>
                <w:rFonts w:cstheme="minorHAnsi"/>
                <w:sz w:val="20"/>
                <w:szCs w:val="20"/>
                <w:lang w:val="en-GB"/>
              </w:rPr>
              <w:t>ee structure, family fee statements and CCMS software report</w:t>
            </w:r>
          </w:p>
        </w:tc>
        <w:sdt>
          <w:sdtPr>
            <w:rPr>
              <w:rFonts w:cstheme="minorHAnsi"/>
              <w:sz w:val="20"/>
              <w:szCs w:val="20"/>
              <w:lang w:val="en-GB"/>
            </w:rPr>
            <w:id w:val="-1581981249"/>
            <w14:checkbox>
              <w14:checked w14:val="0"/>
              <w14:checkedState w14:val="2612" w14:font="MS Gothic"/>
              <w14:uncheckedState w14:val="2610" w14:font="MS Gothic"/>
            </w14:checkbox>
          </w:sdtPr>
          <w:sdtEndPr/>
          <w:sdtContent>
            <w:tc>
              <w:tcPr>
                <w:tcW w:w="1276" w:type="dxa"/>
                <w:shd w:val="clear" w:color="auto" w:fill="auto"/>
                <w:vAlign w:val="center"/>
              </w:tcPr>
              <w:p w14:paraId="5078CF8E"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0351A19A" w14:textId="77777777" w:rsidTr="003C7F52">
        <w:tc>
          <w:tcPr>
            <w:tcW w:w="1701" w:type="dxa"/>
          </w:tcPr>
          <w:p w14:paraId="5A07F4E5" w14:textId="77777777" w:rsidR="00AB117A" w:rsidRPr="00B7285C" w:rsidRDefault="00AB117A" w:rsidP="0090276E">
            <w:pPr>
              <w:spacing w:before="40" w:after="0" w:line="276" w:lineRule="auto"/>
              <w:rPr>
                <w:rFonts w:cstheme="minorHAnsi"/>
                <w:b/>
                <w:sz w:val="20"/>
                <w:szCs w:val="20"/>
                <w:lang w:val="en-GB"/>
              </w:rPr>
            </w:pPr>
            <w:r w:rsidRPr="00B7285C">
              <w:rPr>
                <w:rFonts w:cstheme="minorHAnsi"/>
                <w:b/>
                <w:sz w:val="20"/>
                <w:szCs w:val="20"/>
                <w:lang w:val="en-GB"/>
              </w:rPr>
              <w:t>QKFS Plus</w:t>
            </w:r>
          </w:p>
        </w:tc>
        <w:tc>
          <w:tcPr>
            <w:tcW w:w="7088" w:type="dxa"/>
          </w:tcPr>
          <w:p w14:paraId="7E4ADE89"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Fee structure, family fee statements and CCMS software report</w:t>
            </w:r>
          </w:p>
        </w:tc>
        <w:sdt>
          <w:sdtPr>
            <w:rPr>
              <w:rFonts w:cstheme="minorHAnsi"/>
              <w:sz w:val="20"/>
              <w:szCs w:val="20"/>
              <w:lang w:val="en-GB"/>
            </w:rPr>
            <w:id w:val="-691137912"/>
            <w14:checkbox>
              <w14:checked w14:val="0"/>
              <w14:checkedState w14:val="2612" w14:font="MS Gothic"/>
              <w14:uncheckedState w14:val="2610" w14:font="MS Gothic"/>
            </w14:checkbox>
          </w:sdtPr>
          <w:sdtEndPr/>
          <w:sdtContent>
            <w:tc>
              <w:tcPr>
                <w:tcW w:w="1276" w:type="dxa"/>
                <w:shd w:val="clear" w:color="auto" w:fill="auto"/>
                <w:vAlign w:val="center"/>
              </w:tcPr>
              <w:p w14:paraId="19483CCF"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485A6FAA" w14:textId="77777777" w:rsidTr="003C7F52">
        <w:tc>
          <w:tcPr>
            <w:tcW w:w="1701" w:type="dxa"/>
            <w:vMerge w:val="restart"/>
          </w:tcPr>
          <w:p w14:paraId="6DB14099" w14:textId="77777777" w:rsidR="00AB117A" w:rsidRPr="00B7285C" w:rsidRDefault="00AB117A" w:rsidP="0090276E">
            <w:pPr>
              <w:spacing w:before="40" w:after="0" w:line="276" w:lineRule="auto"/>
              <w:rPr>
                <w:rFonts w:cstheme="minorHAnsi"/>
                <w:b/>
                <w:sz w:val="20"/>
                <w:szCs w:val="20"/>
                <w:lang w:val="en-GB"/>
              </w:rPr>
            </w:pPr>
            <w:r w:rsidRPr="00B7285C">
              <w:rPr>
                <w:rFonts w:cstheme="minorHAnsi"/>
                <w:b/>
                <w:sz w:val="20"/>
                <w:szCs w:val="20"/>
                <w:lang w:val="en-GB"/>
              </w:rPr>
              <w:t>Kindy Uplift</w:t>
            </w:r>
          </w:p>
        </w:tc>
        <w:tc>
          <w:tcPr>
            <w:tcW w:w="7088" w:type="dxa"/>
          </w:tcPr>
          <w:p w14:paraId="44081B81"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Approved Kindy Uplift Plan identifying applicable funds expenditure</w:t>
            </w:r>
          </w:p>
        </w:tc>
        <w:sdt>
          <w:sdtPr>
            <w:rPr>
              <w:rFonts w:cstheme="minorHAnsi"/>
              <w:sz w:val="20"/>
              <w:szCs w:val="20"/>
              <w:lang w:val="en-GB"/>
            </w:rPr>
            <w:id w:val="1002163036"/>
            <w14:checkbox>
              <w14:checked w14:val="0"/>
              <w14:checkedState w14:val="2612" w14:font="MS Gothic"/>
              <w14:uncheckedState w14:val="2610" w14:font="MS Gothic"/>
            </w14:checkbox>
          </w:sdtPr>
          <w:sdtEndPr/>
          <w:sdtContent>
            <w:tc>
              <w:tcPr>
                <w:tcW w:w="1276" w:type="dxa"/>
                <w:shd w:val="clear" w:color="auto" w:fill="auto"/>
                <w:vAlign w:val="center"/>
              </w:tcPr>
              <w:p w14:paraId="06140041"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6E1AE776" w14:textId="77777777" w:rsidTr="003C7F52">
        <w:tc>
          <w:tcPr>
            <w:tcW w:w="1701" w:type="dxa"/>
            <w:vMerge/>
          </w:tcPr>
          <w:p w14:paraId="507AB37C" w14:textId="77777777" w:rsidR="00AB117A" w:rsidRPr="00B7285C" w:rsidRDefault="00AB117A" w:rsidP="0090276E">
            <w:pPr>
              <w:spacing w:before="40" w:after="0" w:line="276" w:lineRule="auto"/>
              <w:rPr>
                <w:rFonts w:cstheme="minorHAnsi"/>
                <w:b/>
                <w:sz w:val="20"/>
                <w:szCs w:val="20"/>
                <w:lang w:val="en-GB"/>
              </w:rPr>
            </w:pPr>
          </w:p>
        </w:tc>
        <w:tc>
          <w:tcPr>
            <w:tcW w:w="7088" w:type="dxa"/>
          </w:tcPr>
          <w:p w14:paraId="0E447703"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Receipts (</w:t>
            </w:r>
            <w:proofErr w:type="gramStart"/>
            <w:r w:rsidRPr="00B7285C">
              <w:rPr>
                <w:rFonts w:cstheme="minorHAnsi"/>
                <w:sz w:val="20"/>
                <w:szCs w:val="20"/>
                <w:lang w:val="en-GB"/>
              </w:rPr>
              <w:t>e.g.</w:t>
            </w:r>
            <w:proofErr w:type="gramEnd"/>
            <w:r w:rsidRPr="00B7285C">
              <w:rPr>
                <w:rFonts w:cstheme="minorHAnsi"/>
                <w:sz w:val="20"/>
                <w:szCs w:val="20"/>
                <w:lang w:val="en-GB"/>
              </w:rPr>
              <w:t xml:space="preserve"> professional development, resources and programs), payslips and service rosters</w:t>
            </w:r>
          </w:p>
        </w:tc>
        <w:sdt>
          <w:sdtPr>
            <w:rPr>
              <w:rFonts w:cstheme="minorHAnsi"/>
              <w:sz w:val="20"/>
              <w:szCs w:val="20"/>
              <w:lang w:val="en-GB"/>
            </w:rPr>
            <w:id w:val="-348946238"/>
            <w14:checkbox>
              <w14:checked w14:val="0"/>
              <w14:checkedState w14:val="2612" w14:font="MS Gothic"/>
              <w14:uncheckedState w14:val="2610" w14:font="MS Gothic"/>
            </w14:checkbox>
          </w:sdtPr>
          <w:sdtEndPr/>
          <w:sdtContent>
            <w:tc>
              <w:tcPr>
                <w:tcW w:w="1276" w:type="dxa"/>
                <w:shd w:val="clear" w:color="auto" w:fill="auto"/>
                <w:vAlign w:val="center"/>
              </w:tcPr>
              <w:p w14:paraId="73967532"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77B7A79E" w14:textId="77777777" w:rsidTr="003C7F52">
        <w:tc>
          <w:tcPr>
            <w:tcW w:w="1701" w:type="dxa"/>
          </w:tcPr>
          <w:p w14:paraId="192E9414" w14:textId="77777777" w:rsidR="00AB117A" w:rsidRPr="00B7285C" w:rsidRDefault="00AB117A" w:rsidP="0090276E">
            <w:pPr>
              <w:spacing w:before="40" w:after="0" w:line="276" w:lineRule="auto"/>
              <w:rPr>
                <w:rFonts w:cstheme="minorHAnsi"/>
                <w:b/>
                <w:sz w:val="20"/>
                <w:szCs w:val="20"/>
                <w:lang w:val="en-GB"/>
              </w:rPr>
            </w:pPr>
            <w:r w:rsidRPr="00B7285C">
              <w:rPr>
                <w:rFonts w:cstheme="minorHAnsi"/>
                <w:b/>
                <w:sz w:val="20"/>
                <w:szCs w:val="20"/>
                <w:lang w:val="en-GB"/>
              </w:rPr>
              <w:t>Ages of children</w:t>
            </w:r>
          </w:p>
        </w:tc>
        <w:tc>
          <w:tcPr>
            <w:tcW w:w="7088" w:type="dxa"/>
          </w:tcPr>
          <w:p w14:paraId="2AF380A2"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 xml:space="preserve">Room rolls for kindergarten cohort with </w:t>
            </w:r>
            <w:r w:rsidRPr="00B7285C">
              <w:rPr>
                <w:rFonts w:cstheme="minorHAnsi"/>
                <w:sz w:val="20"/>
                <w:szCs w:val="20"/>
                <w:u w:val="single"/>
                <w:lang w:val="en-GB"/>
              </w:rPr>
              <w:t>dates of birth</w:t>
            </w:r>
          </w:p>
        </w:tc>
        <w:sdt>
          <w:sdtPr>
            <w:rPr>
              <w:rFonts w:cstheme="minorHAnsi"/>
              <w:sz w:val="20"/>
              <w:szCs w:val="20"/>
              <w:lang w:val="en-GB"/>
            </w:rPr>
            <w:id w:val="-82228067"/>
            <w14:checkbox>
              <w14:checked w14:val="0"/>
              <w14:checkedState w14:val="2612" w14:font="MS Gothic"/>
              <w14:uncheckedState w14:val="2610" w14:font="MS Gothic"/>
            </w14:checkbox>
          </w:sdtPr>
          <w:sdtEndPr/>
          <w:sdtContent>
            <w:tc>
              <w:tcPr>
                <w:tcW w:w="1276" w:type="dxa"/>
                <w:shd w:val="clear" w:color="auto" w:fill="auto"/>
                <w:vAlign w:val="center"/>
              </w:tcPr>
              <w:p w14:paraId="5A9A979F"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3D7D1530" w14:textId="77777777" w:rsidTr="003C7F52">
        <w:tc>
          <w:tcPr>
            <w:tcW w:w="1701" w:type="dxa"/>
          </w:tcPr>
          <w:p w14:paraId="5BA65813" w14:textId="2D76078A" w:rsidR="00AB117A" w:rsidRPr="00B7285C" w:rsidRDefault="00AB117A" w:rsidP="0090276E">
            <w:pPr>
              <w:spacing w:before="40" w:after="0" w:line="276" w:lineRule="auto"/>
              <w:rPr>
                <w:rFonts w:cstheme="minorHAnsi"/>
                <w:b/>
                <w:sz w:val="20"/>
                <w:szCs w:val="20"/>
                <w:lang w:val="en-GB"/>
              </w:rPr>
            </w:pPr>
            <w:r w:rsidRPr="00B7285C">
              <w:rPr>
                <w:rFonts w:cstheme="minorHAnsi"/>
                <w:b/>
                <w:sz w:val="20"/>
                <w:szCs w:val="20"/>
                <w:lang w:val="en-GB"/>
              </w:rPr>
              <w:t>Hours of delivery</w:t>
            </w:r>
          </w:p>
        </w:tc>
        <w:tc>
          <w:tcPr>
            <w:tcW w:w="7088" w:type="dxa"/>
          </w:tcPr>
          <w:p w14:paraId="178DBE86"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 xml:space="preserve">Room rolls with </w:t>
            </w:r>
            <w:r w:rsidRPr="00B7285C">
              <w:rPr>
                <w:rFonts w:cstheme="minorHAnsi"/>
                <w:sz w:val="20"/>
                <w:szCs w:val="20"/>
                <w:u w:val="single"/>
                <w:lang w:val="en-GB"/>
              </w:rPr>
              <w:t>dates of birth</w:t>
            </w:r>
            <w:r w:rsidRPr="00B7285C">
              <w:rPr>
                <w:rFonts w:cstheme="minorHAnsi"/>
                <w:sz w:val="20"/>
                <w:szCs w:val="20"/>
                <w:lang w:val="en-GB"/>
              </w:rPr>
              <w:t>, service rosters and daily kindergarten program routine</w:t>
            </w:r>
          </w:p>
        </w:tc>
        <w:sdt>
          <w:sdtPr>
            <w:rPr>
              <w:rFonts w:cstheme="minorHAnsi"/>
              <w:sz w:val="20"/>
              <w:szCs w:val="20"/>
              <w:lang w:val="en-GB"/>
            </w:rPr>
            <w:id w:val="-2085666653"/>
            <w14:checkbox>
              <w14:checked w14:val="0"/>
              <w14:checkedState w14:val="2612" w14:font="MS Gothic"/>
              <w14:uncheckedState w14:val="2610" w14:font="MS Gothic"/>
            </w14:checkbox>
          </w:sdtPr>
          <w:sdtEndPr/>
          <w:sdtContent>
            <w:tc>
              <w:tcPr>
                <w:tcW w:w="1276" w:type="dxa"/>
                <w:shd w:val="clear" w:color="auto" w:fill="auto"/>
                <w:vAlign w:val="center"/>
              </w:tcPr>
              <w:p w14:paraId="33D2EA8E"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1D7F5495" w14:textId="77777777" w:rsidTr="003C7F52">
        <w:tc>
          <w:tcPr>
            <w:tcW w:w="1701" w:type="dxa"/>
          </w:tcPr>
          <w:p w14:paraId="02A2B6D8" w14:textId="77777777" w:rsidR="00AB117A" w:rsidRPr="00B7285C" w:rsidRDefault="00AB117A" w:rsidP="0090276E">
            <w:pPr>
              <w:spacing w:before="40" w:after="0" w:line="276" w:lineRule="auto"/>
              <w:rPr>
                <w:rFonts w:cstheme="minorHAnsi"/>
                <w:b/>
                <w:sz w:val="20"/>
                <w:szCs w:val="20"/>
                <w:lang w:val="en-GB"/>
              </w:rPr>
            </w:pPr>
            <w:r w:rsidRPr="00B7285C">
              <w:rPr>
                <w:rFonts w:cstheme="minorHAnsi"/>
                <w:b/>
                <w:sz w:val="20"/>
                <w:szCs w:val="20"/>
                <w:lang w:val="en-GB"/>
              </w:rPr>
              <w:t>QKLG</w:t>
            </w:r>
          </w:p>
        </w:tc>
        <w:tc>
          <w:tcPr>
            <w:tcW w:w="7088" w:type="dxa"/>
          </w:tcPr>
          <w:p w14:paraId="374D3F3B" w14:textId="69F26E2F"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Programming and planning with reference to</w:t>
            </w:r>
            <w:r w:rsidR="008B6AB5">
              <w:rPr>
                <w:rFonts w:cstheme="minorHAnsi"/>
                <w:sz w:val="20"/>
                <w:szCs w:val="20"/>
                <w:lang w:val="en-GB"/>
              </w:rPr>
              <w:t xml:space="preserve"> the</w:t>
            </w:r>
            <w:r w:rsidRPr="00B7285C">
              <w:rPr>
                <w:rFonts w:cstheme="minorHAnsi"/>
                <w:sz w:val="20"/>
                <w:szCs w:val="20"/>
                <w:lang w:val="en-GB"/>
              </w:rPr>
              <w:t xml:space="preserve"> </w:t>
            </w:r>
            <w:hyperlink r:id="rId17" w:history="1">
              <w:r w:rsidRPr="00976485">
                <w:rPr>
                  <w:rStyle w:val="Hyperlink"/>
                  <w:rFonts w:cstheme="minorHAnsi"/>
                  <w:sz w:val="20"/>
                  <w:szCs w:val="20"/>
                  <w:lang w:val="en-GB"/>
                </w:rPr>
                <w:t>QKLG</w:t>
              </w:r>
            </w:hyperlink>
          </w:p>
        </w:tc>
        <w:sdt>
          <w:sdtPr>
            <w:rPr>
              <w:rFonts w:cstheme="minorHAnsi"/>
              <w:sz w:val="20"/>
              <w:szCs w:val="20"/>
              <w:lang w:val="en-GB"/>
            </w:rPr>
            <w:id w:val="211926538"/>
            <w14:checkbox>
              <w14:checked w14:val="0"/>
              <w14:checkedState w14:val="2612" w14:font="MS Gothic"/>
              <w14:uncheckedState w14:val="2610" w14:font="MS Gothic"/>
            </w14:checkbox>
          </w:sdtPr>
          <w:sdtEndPr/>
          <w:sdtContent>
            <w:tc>
              <w:tcPr>
                <w:tcW w:w="1276" w:type="dxa"/>
                <w:shd w:val="clear" w:color="auto" w:fill="auto"/>
                <w:vAlign w:val="center"/>
              </w:tcPr>
              <w:p w14:paraId="297F8E35"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1176BCAD" w14:textId="77777777" w:rsidTr="003C7F52">
        <w:tc>
          <w:tcPr>
            <w:tcW w:w="1701" w:type="dxa"/>
          </w:tcPr>
          <w:p w14:paraId="38DC9CFD" w14:textId="77777777" w:rsidR="00AB117A" w:rsidRPr="00B7285C" w:rsidRDefault="00AB117A" w:rsidP="0090276E">
            <w:pPr>
              <w:spacing w:before="40" w:after="0" w:line="276" w:lineRule="auto"/>
              <w:rPr>
                <w:rFonts w:cstheme="minorHAnsi"/>
                <w:b/>
                <w:sz w:val="20"/>
                <w:szCs w:val="20"/>
                <w:lang w:val="en-GB"/>
              </w:rPr>
            </w:pPr>
            <w:r w:rsidRPr="00B7285C">
              <w:rPr>
                <w:rFonts w:cstheme="minorHAnsi"/>
                <w:b/>
                <w:sz w:val="20"/>
                <w:szCs w:val="20"/>
                <w:lang w:val="en-GB"/>
              </w:rPr>
              <w:t>Transition statements</w:t>
            </w:r>
          </w:p>
        </w:tc>
        <w:tc>
          <w:tcPr>
            <w:tcW w:w="7088" w:type="dxa"/>
          </w:tcPr>
          <w:p w14:paraId="027F6CFB" w14:textId="1A950960"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 xml:space="preserve">Confirmation of portal submission and sample of </w:t>
            </w:r>
            <w:hyperlink r:id="rId18" w:history="1">
              <w:r w:rsidRPr="0009630C">
                <w:rPr>
                  <w:rStyle w:val="Hyperlink"/>
                  <w:rFonts w:cstheme="minorHAnsi"/>
                  <w:sz w:val="20"/>
                  <w:szCs w:val="20"/>
                  <w:lang w:val="en-GB"/>
                </w:rPr>
                <w:t>transition statements</w:t>
              </w:r>
            </w:hyperlink>
            <w:r w:rsidRPr="00B7285C">
              <w:rPr>
                <w:rFonts w:cstheme="minorHAnsi"/>
                <w:sz w:val="20"/>
                <w:szCs w:val="20"/>
                <w:lang w:val="en-GB"/>
              </w:rPr>
              <w:t xml:space="preserve"> using the approved template</w:t>
            </w:r>
          </w:p>
        </w:tc>
        <w:sdt>
          <w:sdtPr>
            <w:rPr>
              <w:rFonts w:cstheme="minorHAnsi"/>
              <w:sz w:val="20"/>
              <w:szCs w:val="20"/>
              <w:lang w:val="en-GB"/>
            </w:rPr>
            <w:id w:val="-447629046"/>
            <w14:checkbox>
              <w14:checked w14:val="0"/>
              <w14:checkedState w14:val="2612" w14:font="MS Gothic"/>
              <w14:uncheckedState w14:val="2610" w14:font="MS Gothic"/>
            </w14:checkbox>
          </w:sdtPr>
          <w:sdtEndPr/>
          <w:sdtContent>
            <w:tc>
              <w:tcPr>
                <w:tcW w:w="1276" w:type="dxa"/>
                <w:shd w:val="clear" w:color="auto" w:fill="auto"/>
                <w:vAlign w:val="center"/>
              </w:tcPr>
              <w:p w14:paraId="6D848F34"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r w:rsidR="00AB117A" w14:paraId="31A1AABC" w14:textId="77777777" w:rsidTr="003C7F52">
        <w:tc>
          <w:tcPr>
            <w:tcW w:w="1701" w:type="dxa"/>
          </w:tcPr>
          <w:p w14:paraId="1330E9EE" w14:textId="77777777" w:rsidR="00AB117A" w:rsidRPr="00B7285C" w:rsidRDefault="00AB117A" w:rsidP="0090276E">
            <w:pPr>
              <w:spacing w:before="40" w:after="0" w:line="276" w:lineRule="auto"/>
              <w:rPr>
                <w:rFonts w:cstheme="minorHAnsi"/>
                <w:b/>
                <w:sz w:val="20"/>
                <w:szCs w:val="20"/>
                <w:lang w:val="en-GB"/>
              </w:rPr>
            </w:pPr>
            <w:r w:rsidRPr="00B7285C">
              <w:rPr>
                <w:rFonts w:cstheme="minorHAnsi"/>
                <w:b/>
                <w:sz w:val="20"/>
                <w:szCs w:val="20"/>
                <w:lang w:val="en-GB"/>
              </w:rPr>
              <w:t>Workforce plan</w:t>
            </w:r>
          </w:p>
        </w:tc>
        <w:tc>
          <w:tcPr>
            <w:tcW w:w="7088" w:type="dxa"/>
          </w:tcPr>
          <w:p w14:paraId="568B01F6" w14:textId="77777777" w:rsidR="00AB117A" w:rsidRPr="00B7285C" w:rsidRDefault="00AB117A" w:rsidP="0090276E">
            <w:pPr>
              <w:spacing w:before="40" w:after="0" w:line="276" w:lineRule="auto"/>
              <w:rPr>
                <w:rFonts w:cstheme="minorHAnsi"/>
                <w:sz w:val="20"/>
                <w:szCs w:val="20"/>
                <w:lang w:val="en-GB"/>
              </w:rPr>
            </w:pPr>
            <w:r w:rsidRPr="00B7285C">
              <w:rPr>
                <w:rFonts w:cstheme="minorHAnsi"/>
                <w:sz w:val="20"/>
                <w:szCs w:val="20"/>
                <w:lang w:val="en-GB"/>
              </w:rPr>
              <w:t>Workforce plan identifying service specific workforce strategies</w:t>
            </w:r>
          </w:p>
        </w:tc>
        <w:sdt>
          <w:sdtPr>
            <w:rPr>
              <w:rFonts w:cstheme="minorHAnsi"/>
              <w:sz w:val="20"/>
              <w:szCs w:val="20"/>
              <w:lang w:val="en-GB"/>
            </w:rPr>
            <w:id w:val="230813039"/>
            <w14:checkbox>
              <w14:checked w14:val="0"/>
              <w14:checkedState w14:val="2612" w14:font="MS Gothic"/>
              <w14:uncheckedState w14:val="2610" w14:font="MS Gothic"/>
            </w14:checkbox>
          </w:sdtPr>
          <w:sdtEndPr/>
          <w:sdtContent>
            <w:tc>
              <w:tcPr>
                <w:tcW w:w="1276" w:type="dxa"/>
                <w:shd w:val="clear" w:color="auto" w:fill="auto"/>
                <w:vAlign w:val="center"/>
              </w:tcPr>
              <w:p w14:paraId="2DD7248B" w14:textId="77777777" w:rsidR="00AB117A" w:rsidRPr="00B7285C" w:rsidRDefault="00AB117A" w:rsidP="0090276E">
                <w:pPr>
                  <w:spacing w:before="40" w:after="0" w:line="276" w:lineRule="auto"/>
                  <w:jc w:val="center"/>
                  <w:rPr>
                    <w:rFonts w:cstheme="minorHAnsi"/>
                    <w:sz w:val="20"/>
                    <w:szCs w:val="20"/>
                    <w:lang w:val="en-GB"/>
                  </w:rPr>
                </w:pPr>
                <w:r w:rsidRPr="00B7285C">
                  <w:rPr>
                    <w:rFonts w:ascii="MS Gothic" w:eastAsia="MS Gothic" w:hAnsi="MS Gothic" w:cstheme="minorHAnsi" w:hint="eastAsia"/>
                    <w:sz w:val="20"/>
                    <w:szCs w:val="20"/>
                    <w:lang w:val="en-GB"/>
                  </w:rPr>
                  <w:t>☐</w:t>
                </w:r>
              </w:p>
            </w:tc>
          </w:sdtContent>
        </w:sdt>
      </w:tr>
    </w:tbl>
    <w:p w14:paraId="091CEDDE" w14:textId="77777777" w:rsidR="00864DA9" w:rsidRPr="00510CBF" w:rsidRDefault="00864DA9" w:rsidP="00986881">
      <w:pPr>
        <w:pStyle w:val="ListParagraph"/>
        <w:numPr>
          <w:ilvl w:val="0"/>
          <w:numId w:val="0"/>
        </w:numPr>
        <w:tabs>
          <w:tab w:val="left" w:pos="9348"/>
        </w:tabs>
        <w:autoSpaceDE w:val="0"/>
        <w:autoSpaceDN w:val="0"/>
        <w:adjustRightInd w:val="0"/>
        <w:spacing w:line="276" w:lineRule="auto"/>
        <w:ind w:right="340"/>
        <w:jc w:val="both"/>
      </w:pPr>
    </w:p>
    <w:sectPr w:rsidR="00864DA9" w:rsidRPr="00510CBF" w:rsidSect="00BC5778">
      <w:footerReference w:type="default" r:id="rId19"/>
      <w:headerReference w:type="first" r:id="rId20"/>
      <w:footerReference w:type="first" r:id="rId21"/>
      <w:pgSz w:w="11900" w:h="16840"/>
      <w:pgMar w:top="2098" w:right="2098" w:bottom="1276"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B0B7" w14:textId="77777777" w:rsidR="004302E6" w:rsidRDefault="004302E6" w:rsidP="00190C24">
      <w:r>
        <w:separator/>
      </w:r>
    </w:p>
  </w:endnote>
  <w:endnote w:type="continuationSeparator" w:id="0">
    <w:p w14:paraId="61326BC0" w14:textId="77777777" w:rsidR="004302E6" w:rsidRDefault="004302E6"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D110" w14:textId="77777777" w:rsidR="002712BD" w:rsidRDefault="002712BD">
    <w:pPr>
      <w:pStyle w:val="Footer"/>
    </w:pPr>
    <w:r>
      <w:rPr>
        <w:noProof/>
        <w:lang w:eastAsia="en-AU"/>
      </w:rPr>
      <w:drawing>
        <wp:anchor distT="0" distB="0" distL="114300" distR="114300" simplePos="0" relativeHeight="251659264" behindDoc="1" locked="0" layoutInCell="1" allowOverlap="1" wp14:anchorId="305CFDB2" wp14:editId="7A7D677C">
          <wp:simplePos x="0" y="0"/>
          <wp:positionH relativeFrom="page">
            <wp:align>left</wp:align>
          </wp:positionH>
          <wp:positionV relativeFrom="page">
            <wp:align>bottom</wp:align>
          </wp:positionV>
          <wp:extent cx="7596000" cy="100800"/>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596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34DB" w14:textId="77777777" w:rsidR="00D67137" w:rsidRDefault="00D67137">
    <w:pPr>
      <w:pStyle w:val="Footer"/>
    </w:pPr>
    <w:r>
      <w:rPr>
        <w:noProof/>
      </w:rPr>
      <w:drawing>
        <wp:anchor distT="0" distB="0" distL="114300" distR="114300" simplePos="0" relativeHeight="251661312" behindDoc="1" locked="0" layoutInCell="1" allowOverlap="1" wp14:anchorId="4C2D8B4B" wp14:editId="0A45A36D">
          <wp:simplePos x="0" y="0"/>
          <wp:positionH relativeFrom="page">
            <wp:align>left</wp:align>
          </wp:positionH>
          <wp:positionV relativeFrom="page">
            <wp:align>bottom</wp:align>
          </wp:positionV>
          <wp:extent cx="7560000" cy="964800"/>
          <wp:effectExtent l="0" t="0" r="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7AD2" w14:textId="77777777" w:rsidR="004302E6" w:rsidRDefault="004302E6" w:rsidP="00190C24">
      <w:r>
        <w:separator/>
      </w:r>
    </w:p>
  </w:footnote>
  <w:footnote w:type="continuationSeparator" w:id="0">
    <w:p w14:paraId="09555E2B" w14:textId="77777777" w:rsidR="004302E6" w:rsidRDefault="004302E6"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677B" w14:textId="77777777" w:rsidR="00D67137" w:rsidRDefault="00D67137">
    <w:pPr>
      <w:pStyle w:val="Header"/>
    </w:pPr>
    <w:r>
      <w:rPr>
        <w:noProof/>
      </w:rPr>
      <w:drawing>
        <wp:anchor distT="0" distB="0" distL="114300" distR="114300" simplePos="0" relativeHeight="251660288" behindDoc="1" locked="0" layoutInCell="1" allowOverlap="1" wp14:anchorId="37F7E760" wp14:editId="3C7413EF">
          <wp:simplePos x="0" y="0"/>
          <wp:positionH relativeFrom="page">
            <wp:align>left</wp:align>
          </wp:positionH>
          <wp:positionV relativeFrom="page">
            <wp:align>top</wp:align>
          </wp:positionV>
          <wp:extent cx="7610400" cy="651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ortrait_Header-01.jpg"/>
                  <pic:cNvPicPr/>
                </pic:nvPicPr>
                <pic:blipFill>
                  <a:blip r:embed="rId1">
                    <a:extLst>
                      <a:ext uri="{28A0092B-C50C-407E-A947-70E740481C1C}">
                        <a14:useLocalDpi xmlns:a14="http://schemas.microsoft.com/office/drawing/2010/main" val="0"/>
                      </a:ext>
                    </a:extLst>
                  </a:blip>
                  <a:stretch>
                    <a:fillRect/>
                  </a:stretch>
                </pic:blipFill>
                <pic:spPr>
                  <a:xfrm>
                    <a:off x="0" y="0"/>
                    <a:ext cx="76104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C3843B9"/>
    <w:multiLevelType w:val="hybridMultilevel"/>
    <w:tmpl w:val="B1F8F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F24D1D"/>
    <w:multiLevelType w:val="multilevel"/>
    <w:tmpl w:val="29BED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9D165D1"/>
    <w:multiLevelType w:val="hybridMultilevel"/>
    <w:tmpl w:val="A142F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68"/>
    <w:rsid w:val="000175C6"/>
    <w:rsid w:val="0002155B"/>
    <w:rsid w:val="000320C3"/>
    <w:rsid w:val="000425F7"/>
    <w:rsid w:val="000436FC"/>
    <w:rsid w:val="000465A6"/>
    <w:rsid w:val="00083D53"/>
    <w:rsid w:val="0009630C"/>
    <w:rsid w:val="000B38A9"/>
    <w:rsid w:val="000B61AC"/>
    <w:rsid w:val="000C2E4E"/>
    <w:rsid w:val="000C6137"/>
    <w:rsid w:val="000D0C6E"/>
    <w:rsid w:val="000F4765"/>
    <w:rsid w:val="000F7FDE"/>
    <w:rsid w:val="001314AC"/>
    <w:rsid w:val="001325CD"/>
    <w:rsid w:val="00175F68"/>
    <w:rsid w:val="00190C24"/>
    <w:rsid w:val="0019248E"/>
    <w:rsid w:val="001B67C4"/>
    <w:rsid w:val="001F5F27"/>
    <w:rsid w:val="00210BCD"/>
    <w:rsid w:val="00216AB3"/>
    <w:rsid w:val="002371F7"/>
    <w:rsid w:val="00255DB3"/>
    <w:rsid w:val="0026657B"/>
    <w:rsid w:val="002712BD"/>
    <w:rsid w:val="0028699C"/>
    <w:rsid w:val="0028748A"/>
    <w:rsid w:val="002A3975"/>
    <w:rsid w:val="002C2849"/>
    <w:rsid w:val="002C3128"/>
    <w:rsid w:val="002C62BC"/>
    <w:rsid w:val="002D1826"/>
    <w:rsid w:val="002D5513"/>
    <w:rsid w:val="002F075A"/>
    <w:rsid w:val="002F78A2"/>
    <w:rsid w:val="0030262D"/>
    <w:rsid w:val="00332AF9"/>
    <w:rsid w:val="00352AFE"/>
    <w:rsid w:val="00384198"/>
    <w:rsid w:val="00385A56"/>
    <w:rsid w:val="003C7DD1"/>
    <w:rsid w:val="003C7F52"/>
    <w:rsid w:val="003F5D5D"/>
    <w:rsid w:val="003F643A"/>
    <w:rsid w:val="004038CF"/>
    <w:rsid w:val="00404BCA"/>
    <w:rsid w:val="004302E6"/>
    <w:rsid w:val="00453E0E"/>
    <w:rsid w:val="00482121"/>
    <w:rsid w:val="004A65F8"/>
    <w:rsid w:val="004B4576"/>
    <w:rsid w:val="004D349F"/>
    <w:rsid w:val="004F2B3A"/>
    <w:rsid w:val="00533349"/>
    <w:rsid w:val="005977C2"/>
    <w:rsid w:val="005D1523"/>
    <w:rsid w:val="005F4331"/>
    <w:rsid w:val="006239A5"/>
    <w:rsid w:val="00631525"/>
    <w:rsid w:val="00636B71"/>
    <w:rsid w:val="006405CF"/>
    <w:rsid w:val="00680FBA"/>
    <w:rsid w:val="006951C0"/>
    <w:rsid w:val="006C3D8E"/>
    <w:rsid w:val="006E3DC7"/>
    <w:rsid w:val="006F4299"/>
    <w:rsid w:val="00762106"/>
    <w:rsid w:val="007767D3"/>
    <w:rsid w:val="007A156C"/>
    <w:rsid w:val="007A78CA"/>
    <w:rsid w:val="0080579A"/>
    <w:rsid w:val="0081231C"/>
    <w:rsid w:val="00864DA9"/>
    <w:rsid w:val="00866312"/>
    <w:rsid w:val="008670A1"/>
    <w:rsid w:val="0087328C"/>
    <w:rsid w:val="00884FA6"/>
    <w:rsid w:val="008B6AB5"/>
    <w:rsid w:val="008C47ED"/>
    <w:rsid w:val="008C55DA"/>
    <w:rsid w:val="008D5431"/>
    <w:rsid w:val="008D75B7"/>
    <w:rsid w:val="00907963"/>
    <w:rsid w:val="00920B99"/>
    <w:rsid w:val="00921414"/>
    <w:rsid w:val="0096029B"/>
    <w:rsid w:val="0096078C"/>
    <w:rsid w:val="0096595E"/>
    <w:rsid w:val="00976485"/>
    <w:rsid w:val="00986881"/>
    <w:rsid w:val="009B7893"/>
    <w:rsid w:val="009E5EE5"/>
    <w:rsid w:val="009F02B3"/>
    <w:rsid w:val="00A31182"/>
    <w:rsid w:val="00A338F4"/>
    <w:rsid w:val="00A42947"/>
    <w:rsid w:val="00A47F67"/>
    <w:rsid w:val="00A65710"/>
    <w:rsid w:val="00A7148C"/>
    <w:rsid w:val="00A728A6"/>
    <w:rsid w:val="00A969BD"/>
    <w:rsid w:val="00AB0A25"/>
    <w:rsid w:val="00AB117A"/>
    <w:rsid w:val="00AC555D"/>
    <w:rsid w:val="00AC7C01"/>
    <w:rsid w:val="00AD2501"/>
    <w:rsid w:val="00AD4191"/>
    <w:rsid w:val="00B0660A"/>
    <w:rsid w:val="00B11B99"/>
    <w:rsid w:val="00B17C67"/>
    <w:rsid w:val="00B20E5F"/>
    <w:rsid w:val="00B33337"/>
    <w:rsid w:val="00B42AF1"/>
    <w:rsid w:val="00B71170"/>
    <w:rsid w:val="00B7285C"/>
    <w:rsid w:val="00B8699D"/>
    <w:rsid w:val="00B9771E"/>
    <w:rsid w:val="00BC4AA9"/>
    <w:rsid w:val="00BC5778"/>
    <w:rsid w:val="00C05098"/>
    <w:rsid w:val="00C0519D"/>
    <w:rsid w:val="00C12469"/>
    <w:rsid w:val="00C24500"/>
    <w:rsid w:val="00C31FDE"/>
    <w:rsid w:val="00C50E59"/>
    <w:rsid w:val="00C60449"/>
    <w:rsid w:val="00C752C7"/>
    <w:rsid w:val="00C85567"/>
    <w:rsid w:val="00C864A7"/>
    <w:rsid w:val="00C932AE"/>
    <w:rsid w:val="00CB07AD"/>
    <w:rsid w:val="00CC4193"/>
    <w:rsid w:val="00CD793C"/>
    <w:rsid w:val="00CE100A"/>
    <w:rsid w:val="00D01CD2"/>
    <w:rsid w:val="00D02BA4"/>
    <w:rsid w:val="00D529DC"/>
    <w:rsid w:val="00D67137"/>
    <w:rsid w:val="00D75050"/>
    <w:rsid w:val="00D842DF"/>
    <w:rsid w:val="00D95008"/>
    <w:rsid w:val="00DC34AF"/>
    <w:rsid w:val="00DC5E03"/>
    <w:rsid w:val="00E07A49"/>
    <w:rsid w:val="00E92D11"/>
    <w:rsid w:val="00EA1D06"/>
    <w:rsid w:val="00EB6E95"/>
    <w:rsid w:val="00EE4208"/>
    <w:rsid w:val="00EF474F"/>
    <w:rsid w:val="00EF4AC5"/>
    <w:rsid w:val="00F02ED3"/>
    <w:rsid w:val="00F03FA5"/>
    <w:rsid w:val="00F367B3"/>
    <w:rsid w:val="00F447A2"/>
    <w:rsid w:val="00F522E8"/>
    <w:rsid w:val="00F70C08"/>
    <w:rsid w:val="00F7686C"/>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69019C"/>
  <w15:chartTrackingRefBased/>
  <w15:docId w15:val="{A797F254-B1F4-41B4-A4E2-88BFF84A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2A3975"/>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2A3975"/>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List Paragraph1,List Paragraph11,Bullet point,Bulletr List Paragraph,FooterText,L,List Paragraph2,List Paragraph21,Listeafsnit1,NFP GP Bulleted List,Paragraphe de liste1,Parágrafo da Lista1,Párrafo de lista1,Recommendation"/>
    <w:basedOn w:val="Normal"/>
    <w:link w:val="ListParagraphChar"/>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Title1">
    <w:name w:val="Title 1"/>
    <w:basedOn w:val="Heading1"/>
    <w:qFormat/>
    <w:rsid w:val="00DC34AF"/>
    <w:pPr>
      <w:spacing w:after="0" w:line="240" w:lineRule="auto"/>
    </w:pPr>
    <w:rPr>
      <w:sz w:val="80"/>
    </w:rPr>
  </w:style>
  <w:style w:type="paragraph" w:customStyle="1" w:styleId="Title2">
    <w:name w:val="Title 2"/>
    <w:basedOn w:val="Heading2"/>
    <w:qFormat/>
    <w:rsid w:val="00DC34AF"/>
    <w:pPr>
      <w:spacing w:before="0" w:line="240" w:lineRule="auto"/>
    </w:pPr>
    <w:rPr>
      <w:sz w:val="36"/>
    </w:rPr>
  </w:style>
  <w:style w:type="character" w:customStyle="1" w:styleId="ListParagraphChar">
    <w:name w:val="List Paragraph Char"/>
    <w:aliases w:val="Bullet copy Char,List Paragraph1 Char,List Paragraph11 Char,Bullet point Char,Bulletr List Paragraph Char,FooterText Char,L Char,List Paragraph2 Char,List Paragraph21 Char,Listeafsnit1 Char,NFP GP Bulleted List Char"/>
    <w:link w:val="ListParagraph"/>
    <w:uiPriority w:val="34"/>
    <w:locked/>
    <w:rsid w:val="00210BCD"/>
    <w:rPr>
      <w:rFonts w:ascii="Arial" w:hAnsi="Arial"/>
      <w:sz w:val="22"/>
    </w:rPr>
  </w:style>
  <w:style w:type="character" w:styleId="Hyperlink">
    <w:name w:val="Hyperlink"/>
    <w:basedOn w:val="DefaultParagraphFont"/>
    <w:uiPriority w:val="99"/>
    <w:unhideWhenUsed/>
    <w:rsid w:val="00210BCD"/>
    <w:rPr>
      <w:color w:val="0563C1" w:themeColor="hyperlink"/>
      <w:u w:val="single"/>
    </w:rPr>
  </w:style>
  <w:style w:type="character" w:styleId="CommentReference">
    <w:name w:val="annotation reference"/>
    <w:basedOn w:val="DefaultParagraphFont"/>
    <w:uiPriority w:val="99"/>
    <w:semiHidden/>
    <w:unhideWhenUsed/>
    <w:rsid w:val="00884FA6"/>
    <w:rPr>
      <w:sz w:val="16"/>
      <w:szCs w:val="16"/>
    </w:rPr>
  </w:style>
  <w:style w:type="paragraph" w:styleId="CommentText">
    <w:name w:val="annotation text"/>
    <w:basedOn w:val="Normal"/>
    <w:link w:val="CommentTextChar"/>
    <w:uiPriority w:val="99"/>
    <w:semiHidden/>
    <w:unhideWhenUsed/>
    <w:rsid w:val="00884FA6"/>
    <w:pPr>
      <w:spacing w:line="240" w:lineRule="auto"/>
    </w:pPr>
    <w:rPr>
      <w:sz w:val="20"/>
      <w:szCs w:val="20"/>
    </w:rPr>
  </w:style>
  <w:style w:type="character" w:customStyle="1" w:styleId="CommentTextChar">
    <w:name w:val="Comment Text Char"/>
    <w:basedOn w:val="DefaultParagraphFont"/>
    <w:link w:val="CommentText"/>
    <w:uiPriority w:val="99"/>
    <w:semiHidden/>
    <w:rsid w:val="00884F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4FA6"/>
    <w:rPr>
      <w:b/>
      <w:bCs/>
    </w:rPr>
  </w:style>
  <w:style w:type="character" w:customStyle="1" w:styleId="CommentSubjectChar">
    <w:name w:val="Comment Subject Char"/>
    <w:basedOn w:val="CommentTextChar"/>
    <w:link w:val="CommentSubject"/>
    <w:uiPriority w:val="99"/>
    <w:semiHidden/>
    <w:rsid w:val="00884FA6"/>
    <w:rPr>
      <w:rFonts w:ascii="Arial" w:hAnsi="Arial"/>
      <w:b/>
      <w:bCs/>
      <w:sz w:val="20"/>
      <w:szCs w:val="20"/>
    </w:rPr>
  </w:style>
  <w:style w:type="table" w:styleId="TableGrid">
    <w:name w:val="Table Grid"/>
    <w:basedOn w:val="TableNormal"/>
    <w:uiPriority w:val="39"/>
    <w:rsid w:val="00864DA9"/>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4DA9"/>
    <w:rPr>
      <w:color w:val="954F72" w:themeColor="followedHyperlink"/>
      <w:u w:val="single"/>
    </w:rPr>
  </w:style>
  <w:style w:type="paragraph" w:styleId="BalloonText">
    <w:name w:val="Balloon Text"/>
    <w:basedOn w:val="Normal"/>
    <w:link w:val="BalloonTextChar"/>
    <w:uiPriority w:val="99"/>
    <w:semiHidden/>
    <w:unhideWhenUsed/>
    <w:rsid w:val="003C7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DD1"/>
    <w:rPr>
      <w:rFonts w:ascii="Segoe UI" w:hAnsi="Segoe UI" w:cs="Segoe UI"/>
      <w:sz w:val="18"/>
      <w:szCs w:val="18"/>
    </w:rPr>
  </w:style>
  <w:style w:type="character" w:styleId="UnresolvedMention">
    <w:name w:val="Unresolved Mention"/>
    <w:basedOn w:val="DefaultParagraphFont"/>
    <w:uiPriority w:val="99"/>
    <w:rsid w:val="00867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lychildhood.qld.gov.au/funding-and-support/grants-tenders-and-funding/kindergarten-funding-for-queensland" TargetMode="External"/><Relationship Id="rId18" Type="http://schemas.openxmlformats.org/officeDocument/2006/relationships/hyperlink" Target="https://www.qcaa.qld.edu.au/kindergarten/supporting-transition-school/transition-statemen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arlychildhood.qld.gov.au/fundingAndSupport/Documents/kindy-funding-guidelines.pdf" TargetMode="External"/><Relationship Id="rId17" Type="http://schemas.openxmlformats.org/officeDocument/2006/relationships/hyperlink" Target="https://www.qcaa.qld.edu.au/kindergarten/qklg" TargetMode="External"/><Relationship Id="rId2" Type="http://schemas.openxmlformats.org/officeDocument/2006/relationships/customXml" Target="../customXml/item2.xml"/><Relationship Id="rId16" Type="http://schemas.openxmlformats.org/officeDocument/2006/relationships/hyperlink" Target="https://www.acecqa.gov.au/qualifications/nqf-approv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lychildhood.qld.gov.au/funding-and-support/grants-tenders-and-funding/kindergarten-funding-for-queenslan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ci0\AppData\Local\Temp\Temp1_DoE%20corporate%20templates%20for%20upload%20to%20OnePortal.zip\DoE%20A4%20Fact%20sheet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uthor xmlns="687c0ba5-25f6-467d-a8e9-4285ca7a69ae">
      <UserInfo>
        <DisplayName>NANJI, Kirti</DisplayName>
        <AccountId>47</AccountId>
        <AccountType/>
      </UserInfo>
    </PPContentAuthor>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BEHREND, Kasia</DisplayName>
        <AccountId>20</AccountId>
        <AccountType/>
      </UserInfo>
    </PPSubmittedBy>
    <PPReferenceNumber xmlns="687c0ba5-25f6-467d-a8e9-4285ca7a69ae" xsi:nil="true"/>
    <PPModeratedDate xmlns="687c0ba5-25f6-467d-a8e9-4285ca7a69ae">2023-08-10T23:07:31+00:00</PPModeratedDate>
    <PPLastReviewedDate xmlns="687c0ba5-25f6-467d-a8e9-4285ca7a69ae">2023-08-10T23:07:31+00:00</PPLastReviewedDate>
    <PPContentOwner xmlns="687c0ba5-25f6-467d-a8e9-4285ca7a69ae">
      <UserInfo>
        <DisplayName/>
        <AccountId xsi:nil="true"/>
        <AccountType/>
      </UserInfo>
    </PPContentOwner>
    <PPSubmittedDate xmlns="687c0ba5-25f6-467d-a8e9-4285ca7a69ae">2023-08-10T23:07:22+00:00</PPSubmittedDate>
    <PPPublishedNotificationAddresses xmlns="687c0ba5-25f6-467d-a8e9-4285ca7a69ae" xsi:nil="true"/>
    <PPReviewDate xmlns="687c0ba5-25f6-467d-a8e9-4285ca7a69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0BFEB-0486-4068-8872-3E18E1F7EED3}"/>
</file>

<file path=customXml/itemProps2.xml><?xml version="1.0" encoding="utf-8"?>
<ds:datastoreItem xmlns:ds="http://schemas.openxmlformats.org/officeDocument/2006/customXml" ds:itemID="{87C19F4F-AD04-4671-8912-1AB07648637B}"/>
</file>

<file path=customXml/itemProps3.xml><?xml version="1.0" encoding="utf-8"?>
<ds:datastoreItem xmlns:ds="http://schemas.openxmlformats.org/officeDocument/2006/customXml" ds:itemID="{3C1611FA-E306-4B7B-9936-16899E7835EB}"/>
</file>

<file path=customXml/itemProps4.xml><?xml version="1.0" encoding="utf-8"?>
<ds:datastoreItem xmlns:ds="http://schemas.openxmlformats.org/officeDocument/2006/customXml" ds:itemID="{3F7C7D0B-A59C-4B75-A82A-00C93F4CA1C2}"/>
</file>

<file path=docProps/app.xml><?xml version="1.0" encoding="utf-8"?>
<Properties xmlns="http://schemas.openxmlformats.org/officeDocument/2006/extended-properties" xmlns:vt="http://schemas.openxmlformats.org/officeDocument/2006/docPropsVTypes">
  <Template>DoE A4 Fact sheet_Portrait.DOTX</Template>
  <TotalTime>95</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DoE corporate A4 fact sheet portrait</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QKF governance and assurance</dc:title>
  <dc:subject>QKF governance and assurance</dc:subject>
  <dc:creator>Queensland Government</dc:creator>
  <cp:keywords>QKF; governance; assurance</cp:keywords>
  <dc:description/>
  <cp:revision>82</cp:revision>
  <cp:lastPrinted>2018-01-16T02:55:00Z</cp:lastPrinted>
  <dcterms:created xsi:type="dcterms:W3CDTF">2023-03-13T00:21:00Z</dcterms:created>
  <dcterms:modified xsi:type="dcterms:W3CDTF">2023-05-09T06:54:00Z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