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DC022" w14:textId="77777777" w:rsidR="000D2130" w:rsidRPr="00173116" w:rsidRDefault="00983882" w:rsidP="00F913E0">
      <w:pPr>
        <w:pStyle w:val="Heading1"/>
        <w:spacing w:before="120"/>
      </w:pPr>
      <w:r w:rsidRPr="00173116">
        <w:t>National Quality Framework</w:t>
      </w:r>
    </w:p>
    <w:p w14:paraId="2880A5FB" w14:textId="5FB8991C" w:rsidR="00983882" w:rsidRPr="00173116" w:rsidRDefault="00983882" w:rsidP="00136A85">
      <w:pPr>
        <w:pStyle w:val="Title"/>
      </w:pPr>
      <w:r w:rsidRPr="00173116">
        <w:t xml:space="preserve">Fact Sheet for </w:t>
      </w:r>
      <w:r w:rsidR="00A058C9">
        <w:t>Approved P</w:t>
      </w:r>
      <w:r w:rsidR="00803872" w:rsidRPr="00173116">
        <w:t>roviders</w:t>
      </w:r>
    </w:p>
    <w:p w14:paraId="6A6C488D" w14:textId="0855518D" w:rsidR="00983882" w:rsidRPr="00173116" w:rsidRDefault="00803872" w:rsidP="00136A85">
      <w:pPr>
        <w:pStyle w:val="Title"/>
      </w:pPr>
      <w:r w:rsidRPr="00173116">
        <w:t>Assessment</w:t>
      </w:r>
      <w:r w:rsidR="00A058C9">
        <w:t>s</w:t>
      </w:r>
      <w:r w:rsidRPr="00173116">
        <w:t xml:space="preserve"> of family day care</w:t>
      </w:r>
      <w:r w:rsidR="00AC77F5">
        <w:t xml:space="preserve"> </w:t>
      </w:r>
      <w:r w:rsidRPr="00173116">
        <w:t>residences</w:t>
      </w:r>
    </w:p>
    <w:p w14:paraId="6D1A3230" w14:textId="77777777" w:rsidR="00DD761C" w:rsidRDefault="00B673F8" w:rsidP="00B673F8">
      <w:pPr>
        <w:rPr>
          <w:rFonts w:asciiTheme="majorHAnsi" w:hAnsiTheme="majorHAnsi"/>
        </w:rPr>
      </w:pPr>
      <w:r w:rsidRPr="00173116">
        <w:rPr>
          <w:rFonts w:asciiTheme="majorHAnsi" w:hAnsiTheme="majorHAnsi"/>
        </w:rPr>
        <w:t xml:space="preserve">This fact sheet provides information on the Queensland Regulatory Authority’s </w:t>
      </w:r>
      <w:r>
        <w:rPr>
          <w:rFonts w:asciiTheme="majorHAnsi" w:hAnsiTheme="majorHAnsi"/>
        </w:rPr>
        <w:t>position</w:t>
      </w:r>
      <w:r w:rsidRPr="0017311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regarding what constitutes a family day care</w:t>
      </w:r>
      <w:r w:rsidRPr="00173116">
        <w:rPr>
          <w:rFonts w:asciiTheme="majorHAnsi" w:hAnsiTheme="majorHAnsi"/>
        </w:rPr>
        <w:t xml:space="preserve"> residence</w:t>
      </w:r>
      <w:r>
        <w:rPr>
          <w:rFonts w:asciiTheme="majorHAnsi" w:hAnsiTheme="majorHAnsi"/>
        </w:rPr>
        <w:t xml:space="preserve"> under the Education and Care Services National Law (National Law).  </w:t>
      </w:r>
    </w:p>
    <w:p w14:paraId="3CD82FF2" w14:textId="77777777" w:rsidR="00DD761C" w:rsidRDefault="00DD761C" w:rsidP="00B673F8">
      <w:pPr>
        <w:rPr>
          <w:rFonts w:asciiTheme="majorHAnsi" w:hAnsiTheme="majorHAnsi"/>
        </w:rPr>
      </w:pPr>
    </w:p>
    <w:p w14:paraId="13DFE238" w14:textId="662340F6" w:rsidR="00B673F8" w:rsidRPr="00173116" w:rsidRDefault="00B673F8" w:rsidP="00B673F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position </w:t>
      </w:r>
      <w:r w:rsidR="00DD761C">
        <w:rPr>
          <w:rFonts w:asciiTheme="majorHAnsi" w:hAnsiTheme="majorHAnsi"/>
        </w:rPr>
        <w:t xml:space="preserve">supports the </w:t>
      </w:r>
      <w:r w:rsidRPr="00D65D69">
        <w:rPr>
          <w:rFonts w:asciiTheme="majorHAnsi" w:hAnsiTheme="majorHAnsi"/>
        </w:rPr>
        <w:t xml:space="preserve">objectives of </w:t>
      </w:r>
      <w:r w:rsidR="00992CD9">
        <w:rPr>
          <w:rFonts w:asciiTheme="majorHAnsi" w:hAnsiTheme="majorHAnsi"/>
        </w:rPr>
        <w:t xml:space="preserve">the </w:t>
      </w:r>
      <w:r>
        <w:rPr>
          <w:rFonts w:asciiTheme="majorHAnsi" w:hAnsiTheme="majorHAnsi"/>
        </w:rPr>
        <w:t>National Law</w:t>
      </w:r>
      <w:r w:rsidR="00DD761C">
        <w:rPr>
          <w:rFonts w:asciiTheme="majorHAnsi" w:hAnsiTheme="majorHAnsi"/>
        </w:rPr>
        <w:t xml:space="preserve">, specifically </w:t>
      </w:r>
      <w:r>
        <w:rPr>
          <w:rFonts w:asciiTheme="majorHAnsi" w:hAnsiTheme="majorHAnsi"/>
        </w:rPr>
        <w:t xml:space="preserve">to </w:t>
      </w:r>
      <w:r w:rsidRPr="00D65D69">
        <w:rPr>
          <w:rFonts w:asciiTheme="majorHAnsi" w:hAnsiTheme="majorHAnsi"/>
        </w:rPr>
        <w:t>ensur</w:t>
      </w:r>
      <w:r>
        <w:rPr>
          <w:rFonts w:asciiTheme="majorHAnsi" w:hAnsiTheme="majorHAnsi"/>
        </w:rPr>
        <w:t>e</w:t>
      </w:r>
      <w:r w:rsidRPr="00D65D69">
        <w:rPr>
          <w:rFonts w:asciiTheme="majorHAnsi" w:hAnsiTheme="majorHAnsi"/>
        </w:rPr>
        <w:t xml:space="preserve"> the safety, health and wellbeing of children attending an education and care service and </w:t>
      </w:r>
      <w:r>
        <w:rPr>
          <w:rFonts w:asciiTheme="majorHAnsi" w:hAnsiTheme="majorHAnsi"/>
        </w:rPr>
        <w:t xml:space="preserve">to </w:t>
      </w:r>
      <w:r w:rsidRPr="00D65D69">
        <w:rPr>
          <w:rFonts w:asciiTheme="majorHAnsi" w:hAnsiTheme="majorHAnsi"/>
        </w:rPr>
        <w:t>improv</w:t>
      </w:r>
      <w:r>
        <w:rPr>
          <w:rFonts w:asciiTheme="majorHAnsi" w:hAnsiTheme="majorHAnsi"/>
        </w:rPr>
        <w:t>e</w:t>
      </w:r>
      <w:r w:rsidRPr="00D65D69">
        <w:rPr>
          <w:rFonts w:asciiTheme="majorHAnsi" w:hAnsiTheme="majorHAnsi"/>
        </w:rPr>
        <w:t xml:space="preserve"> the</w:t>
      </w:r>
      <w:r>
        <w:rPr>
          <w:rFonts w:asciiTheme="majorHAnsi" w:hAnsiTheme="majorHAnsi"/>
        </w:rPr>
        <w:t>ir</w:t>
      </w:r>
      <w:r w:rsidRPr="00D65D69">
        <w:rPr>
          <w:rFonts w:asciiTheme="majorHAnsi" w:hAnsiTheme="majorHAnsi"/>
        </w:rPr>
        <w:t xml:space="preserve"> educational and developmental outcomes.</w:t>
      </w:r>
      <w:r>
        <w:rPr>
          <w:rFonts w:asciiTheme="majorHAnsi" w:hAnsiTheme="majorHAnsi"/>
        </w:rPr>
        <w:t xml:space="preserve">  </w:t>
      </w:r>
    </w:p>
    <w:p w14:paraId="18EFF3C9" w14:textId="48683704" w:rsidR="00B673F8" w:rsidRDefault="00B673F8" w:rsidP="0051597E">
      <w:pPr>
        <w:rPr>
          <w:rFonts w:asciiTheme="majorHAnsi" w:hAnsiTheme="majorHAnsi"/>
        </w:rPr>
      </w:pPr>
    </w:p>
    <w:p w14:paraId="7444C622" w14:textId="14888419" w:rsidR="00DD761C" w:rsidRDefault="006F3FCA" w:rsidP="00136A8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When </w:t>
      </w:r>
      <w:r w:rsidR="001C64F3">
        <w:rPr>
          <w:rFonts w:asciiTheme="majorHAnsi" w:hAnsiTheme="majorHAnsi"/>
        </w:rPr>
        <w:t xml:space="preserve">considering </w:t>
      </w:r>
      <w:r>
        <w:rPr>
          <w:rFonts w:asciiTheme="majorHAnsi" w:hAnsiTheme="majorHAnsi"/>
        </w:rPr>
        <w:t>premises</w:t>
      </w:r>
      <w:r w:rsidR="001C64F3">
        <w:rPr>
          <w:rFonts w:asciiTheme="majorHAnsi" w:hAnsiTheme="majorHAnsi"/>
        </w:rPr>
        <w:t xml:space="preserve"> for a proposed family day care service</w:t>
      </w:r>
      <w:r>
        <w:rPr>
          <w:rFonts w:asciiTheme="majorHAnsi" w:hAnsiTheme="majorHAnsi"/>
        </w:rPr>
        <w:t>, an</w:t>
      </w:r>
      <w:r w:rsidR="00FF5C27">
        <w:rPr>
          <w:rFonts w:asciiTheme="majorHAnsi" w:hAnsiTheme="majorHAnsi"/>
        </w:rPr>
        <w:t xml:space="preserve"> </w:t>
      </w:r>
      <w:r w:rsidR="00992CD9">
        <w:rPr>
          <w:rFonts w:asciiTheme="majorHAnsi" w:hAnsiTheme="majorHAnsi"/>
        </w:rPr>
        <w:t>a</w:t>
      </w:r>
      <w:r w:rsidR="00AC4A00">
        <w:rPr>
          <w:rFonts w:asciiTheme="majorHAnsi" w:hAnsiTheme="majorHAnsi"/>
        </w:rPr>
        <w:t xml:space="preserve">pproved </w:t>
      </w:r>
      <w:r w:rsidR="00992CD9">
        <w:rPr>
          <w:rFonts w:asciiTheme="majorHAnsi" w:hAnsiTheme="majorHAnsi"/>
        </w:rPr>
        <w:t>p</w:t>
      </w:r>
      <w:r w:rsidR="00AC4A00">
        <w:rPr>
          <w:rFonts w:asciiTheme="majorHAnsi" w:hAnsiTheme="majorHAnsi"/>
        </w:rPr>
        <w:t xml:space="preserve">rovider must establish whether the proposed </w:t>
      </w:r>
      <w:r w:rsidR="00DD761C">
        <w:rPr>
          <w:rFonts w:asciiTheme="majorHAnsi" w:hAnsiTheme="majorHAnsi"/>
        </w:rPr>
        <w:t>premises</w:t>
      </w:r>
      <w:r w:rsidR="00AC4A00">
        <w:rPr>
          <w:rFonts w:asciiTheme="majorHAnsi" w:hAnsiTheme="majorHAnsi"/>
        </w:rPr>
        <w:t xml:space="preserve"> for the delivery of education and care is a family day care residence</w:t>
      </w:r>
      <w:r w:rsidR="0097777E">
        <w:rPr>
          <w:rFonts w:asciiTheme="majorHAnsi" w:hAnsiTheme="majorHAnsi"/>
        </w:rPr>
        <w:t xml:space="preserve"> or venue</w:t>
      </w:r>
      <w:r w:rsidR="002B3F5D">
        <w:rPr>
          <w:rFonts w:asciiTheme="majorHAnsi" w:hAnsiTheme="majorHAnsi"/>
        </w:rPr>
        <w:t xml:space="preserve"> (section 5 National Law)</w:t>
      </w:r>
      <w:r w:rsidR="00FF5C27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 xml:space="preserve"> </w:t>
      </w:r>
    </w:p>
    <w:p w14:paraId="6A0DABC8" w14:textId="77777777" w:rsidR="00DD761C" w:rsidRDefault="00DD761C" w:rsidP="00136A85">
      <w:pPr>
        <w:rPr>
          <w:rFonts w:asciiTheme="majorHAnsi" w:hAnsiTheme="majorHAnsi"/>
        </w:rPr>
      </w:pPr>
    </w:p>
    <w:p w14:paraId="374E5E8E" w14:textId="0D7203EF" w:rsidR="003110A6" w:rsidRPr="00173116" w:rsidRDefault="006F3FCA" w:rsidP="00136A8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paramount consideration in </w:t>
      </w:r>
      <w:r w:rsidR="00DD761C">
        <w:rPr>
          <w:rFonts w:asciiTheme="majorHAnsi" w:hAnsiTheme="majorHAnsi"/>
        </w:rPr>
        <w:t>the case of either a residence or venue</w:t>
      </w:r>
      <w:r>
        <w:rPr>
          <w:rFonts w:asciiTheme="majorHAnsi" w:hAnsiTheme="majorHAnsi"/>
        </w:rPr>
        <w:t xml:space="preserve"> is the safety, health and wellbeing of children</w:t>
      </w:r>
      <w:r w:rsidR="001C64F3">
        <w:rPr>
          <w:rFonts w:asciiTheme="majorHAnsi" w:hAnsiTheme="majorHAnsi"/>
        </w:rPr>
        <w:t>, including the suitability of the proposed premises</w:t>
      </w:r>
      <w:r>
        <w:rPr>
          <w:rFonts w:asciiTheme="majorHAnsi" w:hAnsiTheme="majorHAnsi"/>
        </w:rPr>
        <w:t>.</w:t>
      </w:r>
    </w:p>
    <w:p w14:paraId="0A00CFF7" w14:textId="77777777" w:rsidR="003110A6" w:rsidRPr="00173116" w:rsidRDefault="003110A6" w:rsidP="002A0491">
      <w:pPr>
        <w:pStyle w:val="Heading1"/>
        <w:spacing w:before="240"/>
      </w:pPr>
      <w:r w:rsidRPr="00173116">
        <w:t>What is a family day care residence?</w:t>
      </w:r>
    </w:p>
    <w:p w14:paraId="5E2AAAA7" w14:textId="6A095DFD" w:rsidR="003978F8" w:rsidRPr="009107B4" w:rsidRDefault="00F24E3E" w:rsidP="00136A85">
      <w:pPr>
        <w:rPr>
          <w:rFonts w:asciiTheme="majorHAnsi" w:hAnsiTheme="majorHAnsi"/>
        </w:rPr>
      </w:pPr>
      <w:r w:rsidRPr="009107B4">
        <w:rPr>
          <w:rFonts w:asciiTheme="majorHAnsi" w:hAnsiTheme="majorHAnsi"/>
        </w:rPr>
        <w:t xml:space="preserve">The aim of family day care </w:t>
      </w:r>
      <w:r w:rsidR="00971C6F" w:rsidRPr="009107B4">
        <w:rPr>
          <w:rFonts w:asciiTheme="majorHAnsi" w:hAnsiTheme="majorHAnsi"/>
        </w:rPr>
        <w:t>has been</w:t>
      </w:r>
      <w:r w:rsidRPr="009107B4">
        <w:rPr>
          <w:rFonts w:asciiTheme="majorHAnsi" w:hAnsiTheme="majorHAnsi"/>
        </w:rPr>
        <w:t xml:space="preserve"> to offer a</w:t>
      </w:r>
      <w:r w:rsidR="005B53A0" w:rsidRPr="009107B4">
        <w:rPr>
          <w:rFonts w:asciiTheme="majorHAnsi" w:hAnsiTheme="majorHAnsi"/>
        </w:rPr>
        <w:t xml:space="preserve"> safe</w:t>
      </w:r>
      <w:r w:rsidRPr="009107B4">
        <w:rPr>
          <w:rFonts w:asciiTheme="majorHAnsi" w:hAnsiTheme="majorHAnsi"/>
        </w:rPr>
        <w:t xml:space="preserve"> education and care option for children in </w:t>
      </w:r>
      <w:r w:rsidR="00971C6F" w:rsidRPr="009107B4">
        <w:rPr>
          <w:rFonts w:asciiTheme="majorHAnsi" w:hAnsiTheme="majorHAnsi"/>
        </w:rPr>
        <w:t xml:space="preserve">small groups, </w:t>
      </w:r>
      <w:r w:rsidR="005B53A0" w:rsidRPr="009107B4">
        <w:rPr>
          <w:rFonts w:asciiTheme="majorHAnsi" w:hAnsiTheme="majorHAnsi"/>
        </w:rPr>
        <w:t xml:space="preserve">traditionally in a </w:t>
      </w:r>
      <w:r w:rsidRPr="009107B4">
        <w:rPr>
          <w:rFonts w:asciiTheme="majorHAnsi" w:hAnsiTheme="majorHAnsi"/>
        </w:rPr>
        <w:t xml:space="preserve">stimulating home </w:t>
      </w:r>
      <w:r w:rsidR="00971C6F" w:rsidRPr="009107B4">
        <w:rPr>
          <w:rFonts w:asciiTheme="majorHAnsi" w:hAnsiTheme="majorHAnsi"/>
        </w:rPr>
        <w:t xml:space="preserve">or family </w:t>
      </w:r>
      <w:r w:rsidRPr="009107B4">
        <w:rPr>
          <w:rFonts w:asciiTheme="majorHAnsi" w:hAnsiTheme="majorHAnsi"/>
        </w:rPr>
        <w:t xml:space="preserve">learning environment.  </w:t>
      </w:r>
      <w:r w:rsidR="003978F8" w:rsidRPr="009107B4">
        <w:rPr>
          <w:rFonts w:asciiTheme="majorHAnsi" w:hAnsiTheme="majorHAnsi"/>
        </w:rPr>
        <w:t>T</w:t>
      </w:r>
      <w:r w:rsidR="006F3FCA" w:rsidRPr="009107B4">
        <w:rPr>
          <w:rFonts w:asciiTheme="majorHAnsi" w:hAnsiTheme="majorHAnsi"/>
        </w:rPr>
        <w:t xml:space="preserve">he National Law </w:t>
      </w:r>
      <w:r w:rsidR="003978F8" w:rsidRPr="009107B4">
        <w:rPr>
          <w:rFonts w:asciiTheme="majorHAnsi" w:hAnsiTheme="majorHAnsi"/>
        </w:rPr>
        <w:t xml:space="preserve">and </w:t>
      </w:r>
      <w:r w:rsidR="006F3FCA" w:rsidRPr="009107B4">
        <w:rPr>
          <w:rFonts w:asciiTheme="majorHAnsi" w:hAnsiTheme="majorHAnsi"/>
        </w:rPr>
        <w:t>National Regulations</w:t>
      </w:r>
      <w:r w:rsidR="003978F8" w:rsidRPr="009107B4">
        <w:rPr>
          <w:rFonts w:asciiTheme="majorHAnsi" w:hAnsiTheme="majorHAnsi"/>
        </w:rPr>
        <w:t xml:space="preserve"> do not require that the family d</w:t>
      </w:r>
      <w:r w:rsidR="008D5820">
        <w:rPr>
          <w:rFonts w:asciiTheme="majorHAnsi" w:hAnsiTheme="majorHAnsi"/>
        </w:rPr>
        <w:t>ay care educator</w:t>
      </w:r>
      <w:r w:rsidR="00B1477A">
        <w:rPr>
          <w:rFonts w:asciiTheme="majorHAnsi" w:hAnsiTheme="majorHAnsi"/>
        </w:rPr>
        <w:t>,</w:t>
      </w:r>
      <w:r w:rsidR="008D5820">
        <w:rPr>
          <w:rFonts w:asciiTheme="majorHAnsi" w:hAnsiTheme="majorHAnsi"/>
        </w:rPr>
        <w:t xml:space="preserve"> or a ‘family</w:t>
      </w:r>
      <w:r w:rsidR="00B1477A">
        <w:rPr>
          <w:rFonts w:asciiTheme="majorHAnsi" w:hAnsiTheme="majorHAnsi"/>
        </w:rPr>
        <w:t>,</w:t>
      </w:r>
      <w:r w:rsidR="008D5820">
        <w:rPr>
          <w:rFonts w:asciiTheme="majorHAnsi" w:hAnsiTheme="majorHAnsi"/>
        </w:rPr>
        <w:t xml:space="preserve">’ </w:t>
      </w:r>
      <w:r w:rsidR="003978F8" w:rsidRPr="009107B4">
        <w:rPr>
          <w:rFonts w:asciiTheme="majorHAnsi" w:hAnsiTheme="majorHAnsi"/>
        </w:rPr>
        <w:t>need</w:t>
      </w:r>
      <w:r w:rsidR="00B1477A">
        <w:rPr>
          <w:rFonts w:asciiTheme="majorHAnsi" w:hAnsiTheme="majorHAnsi"/>
        </w:rPr>
        <w:t>s</w:t>
      </w:r>
      <w:r w:rsidR="003978F8" w:rsidRPr="009107B4">
        <w:rPr>
          <w:rFonts w:asciiTheme="majorHAnsi" w:hAnsiTheme="majorHAnsi"/>
        </w:rPr>
        <w:t xml:space="preserve"> to reside at the </w:t>
      </w:r>
      <w:r w:rsidR="006F3FCA" w:rsidRPr="009107B4">
        <w:rPr>
          <w:rFonts w:asciiTheme="majorHAnsi" w:hAnsiTheme="majorHAnsi"/>
        </w:rPr>
        <w:t>family day care residence</w:t>
      </w:r>
      <w:r w:rsidR="00971C6F" w:rsidRPr="009107B4">
        <w:rPr>
          <w:rFonts w:asciiTheme="majorHAnsi" w:hAnsiTheme="majorHAnsi"/>
        </w:rPr>
        <w:t xml:space="preserve">.  </w:t>
      </w:r>
    </w:p>
    <w:p w14:paraId="60E42732" w14:textId="77777777" w:rsidR="003978F8" w:rsidRPr="009107B4" w:rsidRDefault="003978F8" w:rsidP="00136A85">
      <w:pPr>
        <w:rPr>
          <w:rFonts w:asciiTheme="majorHAnsi" w:hAnsiTheme="majorHAnsi"/>
        </w:rPr>
      </w:pPr>
    </w:p>
    <w:p w14:paraId="2A75F0EC" w14:textId="03088D79" w:rsidR="00185814" w:rsidRPr="009107B4" w:rsidRDefault="00185814" w:rsidP="00136A85">
      <w:pPr>
        <w:rPr>
          <w:rFonts w:asciiTheme="majorHAnsi" w:hAnsiTheme="majorHAnsi"/>
        </w:rPr>
      </w:pPr>
      <w:r w:rsidRPr="009107B4">
        <w:rPr>
          <w:rFonts w:asciiTheme="majorHAnsi" w:hAnsiTheme="majorHAnsi"/>
        </w:rPr>
        <w:t>The National Law defines a family day care residence as ‘a residence at which a family day care educator educates and care</w:t>
      </w:r>
      <w:r w:rsidR="00CE1D32" w:rsidRPr="009107B4">
        <w:rPr>
          <w:rFonts w:asciiTheme="majorHAnsi" w:hAnsiTheme="majorHAnsi"/>
        </w:rPr>
        <w:t>s</w:t>
      </w:r>
      <w:r w:rsidRPr="009107B4">
        <w:rPr>
          <w:rFonts w:asciiTheme="majorHAnsi" w:hAnsiTheme="majorHAnsi"/>
        </w:rPr>
        <w:t xml:space="preserve"> for children as par</w:t>
      </w:r>
      <w:r w:rsidR="00D65D69" w:rsidRPr="009107B4">
        <w:rPr>
          <w:rFonts w:asciiTheme="majorHAnsi" w:hAnsiTheme="majorHAnsi"/>
        </w:rPr>
        <w:t xml:space="preserve">t of a family day care service’.  A </w:t>
      </w:r>
      <w:r w:rsidR="00A058C9" w:rsidRPr="009107B4">
        <w:rPr>
          <w:rFonts w:asciiTheme="majorHAnsi" w:hAnsiTheme="majorHAnsi"/>
        </w:rPr>
        <w:t>‘</w:t>
      </w:r>
      <w:r w:rsidR="00D65D69" w:rsidRPr="009107B4">
        <w:rPr>
          <w:rFonts w:asciiTheme="majorHAnsi" w:hAnsiTheme="majorHAnsi"/>
        </w:rPr>
        <w:t>residence</w:t>
      </w:r>
      <w:r w:rsidR="00A058C9" w:rsidRPr="009107B4">
        <w:rPr>
          <w:rFonts w:asciiTheme="majorHAnsi" w:hAnsiTheme="majorHAnsi"/>
        </w:rPr>
        <w:t>’</w:t>
      </w:r>
      <w:r w:rsidR="00387ABD">
        <w:rPr>
          <w:rFonts w:asciiTheme="majorHAnsi" w:hAnsiTheme="majorHAnsi"/>
        </w:rPr>
        <w:t xml:space="preserve"> is</w:t>
      </w:r>
      <w:r w:rsidR="00D65D69" w:rsidRPr="009107B4">
        <w:rPr>
          <w:rFonts w:asciiTheme="majorHAnsi" w:hAnsiTheme="majorHAnsi"/>
        </w:rPr>
        <w:t xml:space="preserve"> defined as being </w:t>
      </w:r>
      <w:r w:rsidRPr="009107B4">
        <w:rPr>
          <w:rFonts w:asciiTheme="majorHAnsi" w:hAnsiTheme="majorHAnsi"/>
        </w:rPr>
        <w:t xml:space="preserve">‘the habitable areas of a dwelling’ (Section 5). </w:t>
      </w:r>
    </w:p>
    <w:p w14:paraId="09A85C7D" w14:textId="6B87E75D" w:rsidR="00185814" w:rsidRPr="009107B4" w:rsidRDefault="00185814" w:rsidP="00136A85">
      <w:pPr>
        <w:rPr>
          <w:rFonts w:asciiTheme="majorHAnsi" w:hAnsiTheme="majorHAnsi"/>
        </w:rPr>
      </w:pPr>
    </w:p>
    <w:p w14:paraId="32F7B48F" w14:textId="6A2A2FDA" w:rsidR="003978F8" w:rsidRPr="009107B4" w:rsidRDefault="00971C6F" w:rsidP="00136A85">
      <w:pPr>
        <w:rPr>
          <w:rFonts w:asciiTheme="majorHAnsi" w:hAnsiTheme="majorHAnsi"/>
        </w:rPr>
      </w:pPr>
      <w:r w:rsidRPr="009107B4">
        <w:rPr>
          <w:rFonts w:asciiTheme="majorHAnsi" w:hAnsiTheme="majorHAnsi"/>
        </w:rPr>
        <w:t>Key</w:t>
      </w:r>
      <w:r w:rsidR="003978F8" w:rsidRPr="009107B4">
        <w:rPr>
          <w:rFonts w:asciiTheme="majorHAnsi" w:hAnsiTheme="majorHAnsi"/>
        </w:rPr>
        <w:t xml:space="preserve"> preliminary</w:t>
      </w:r>
      <w:r w:rsidRPr="009107B4">
        <w:rPr>
          <w:rFonts w:asciiTheme="majorHAnsi" w:hAnsiTheme="majorHAnsi"/>
        </w:rPr>
        <w:t xml:space="preserve"> </w:t>
      </w:r>
      <w:r w:rsidR="003978F8" w:rsidRPr="009107B4">
        <w:rPr>
          <w:rFonts w:asciiTheme="majorHAnsi" w:hAnsiTheme="majorHAnsi"/>
        </w:rPr>
        <w:t xml:space="preserve">considerations when establishing whether a proposed premises </w:t>
      </w:r>
      <w:r w:rsidR="00387ABD">
        <w:rPr>
          <w:rFonts w:asciiTheme="majorHAnsi" w:hAnsiTheme="majorHAnsi"/>
        </w:rPr>
        <w:t xml:space="preserve">is </w:t>
      </w:r>
      <w:r w:rsidR="003978F8" w:rsidRPr="009107B4">
        <w:rPr>
          <w:rFonts w:asciiTheme="majorHAnsi" w:hAnsiTheme="majorHAnsi"/>
        </w:rPr>
        <w:t xml:space="preserve">a </w:t>
      </w:r>
      <w:r w:rsidRPr="009107B4">
        <w:rPr>
          <w:rFonts w:asciiTheme="majorHAnsi" w:hAnsiTheme="majorHAnsi"/>
        </w:rPr>
        <w:t>family day care residence</w:t>
      </w:r>
      <w:r w:rsidR="003978F8" w:rsidRPr="009107B4">
        <w:rPr>
          <w:rFonts w:asciiTheme="majorHAnsi" w:hAnsiTheme="majorHAnsi"/>
        </w:rPr>
        <w:t xml:space="preserve"> are:</w:t>
      </w:r>
    </w:p>
    <w:p w14:paraId="5B14AFC3" w14:textId="36818D52" w:rsidR="003978F8" w:rsidRPr="009107B4" w:rsidRDefault="003978F8" w:rsidP="003978F8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9107B4">
        <w:rPr>
          <w:rFonts w:asciiTheme="majorHAnsi" w:hAnsiTheme="majorHAnsi"/>
        </w:rPr>
        <w:t>the premises</w:t>
      </w:r>
      <w:r w:rsidR="00971C6F" w:rsidRPr="009107B4">
        <w:rPr>
          <w:rFonts w:asciiTheme="majorHAnsi" w:hAnsiTheme="majorHAnsi"/>
        </w:rPr>
        <w:t xml:space="preserve"> </w:t>
      </w:r>
      <w:r w:rsidRPr="009107B4">
        <w:rPr>
          <w:rFonts w:asciiTheme="majorHAnsi" w:hAnsiTheme="majorHAnsi"/>
        </w:rPr>
        <w:t xml:space="preserve">is </w:t>
      </w:r>
      <w:r w:rsidR="00971C6F" w:rsidRPr="009107B4">
        <w:rPr>
          <w:rFonts w:asciiTheme="majorHAnsi" w:hAnsiTheme="majorHAnsi"/>
        </w:rPr>
        <w:t>a residence</w:t>
      </w:r>
      <w:r w:rsidR="008D5820">
        <w:rPr>
          <w:rFonts w:asciiTheme="majorHAnsi" w:hAnsiTheme="majorHAnsi"/>
        </w:rPr>
        <w:t>, and</w:t>
      </w:r>
      <w:r w:rsidRPr="009107B4">
        <w:rPr>
          <w:rFonts w:asciiTheme="majorHAnsi" w:hAnsiTheme="majorHAnsi"/>
        </w:rPr>
        <w:t xml:space="preserve"> </w:t>
      </w:r>
    </w:p>
    <w:p w14:paraId="47BA2695" w14:textId="77777777" w:rsidR="003978F8" w:rsidRPr="009107B4" w:rsidRDefault="00293057" w:rsidP="003978F8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9107B4">
        <w:rPr>
          <w:rFonts w:asciiTheme="majorHAnsi" w:hAnsiTheme="majorHAnsi"/>
        </w:rPr>
        <w:t xml:space="preserve">the parts of the premises </w:t>
      </w:r>
      <w:r w:rsidR="003978F8" w:rsidRPr="009107B4">
        <w:rPr>
          <w:rFonts w:asciiTheme="majorHAnsi" w:hAnsiTheme="majorHAnsi"/>
        </w:rPr>
        <w:t xml:space="preserve">to be </w:t>
      </w:r>
      <w:r w:rsidRPr="009107B4">
        <w:rPr>
          <w:rFonts w:asciiTheme="majorHAnsi" w:hAnsiTheme="majorHAnsi"/>
        </w:rPr>
        <w:t>used for education and care are the habitable areas of the premises</w:t>
      </w:r>
      <w:r w:rsidR="003978F8" w:rsidRPr="009107B4">
        <w:rPr>
          <w:rFonts w:asciiTheme="majorHAnsi" w:hAnsiTheme="majorHAnsi"/>
        </w:rPr>
        <w:t xml:space="preserve"> (dwelling)</w:t>
      </w:r>
      <w:r w:rsidRPr="009107B4">
        <w:rPr>
          <w:rFonts w:asciiTheme="majorHAnsi" w:hAnsiTheme="majorHAnsi"/>
        </w:rPr>
        <w:t xml:space="preserve">.  </w:t>
      </w:r>
    </w:p>
    <w:p w14:paraId="64E8A63E" w14:textId="77777777" w:rsidR="003978F8" w:rsidRPr="009107B4" w:rsidRDefault="003978F8" w:rsidP="003978F8">
      <w:pPr>
        <w:rPr>
          <w:rFonts w:asciiTheme="majorHAnsi" w:hAnsiTheme="majorHAnsi"/>
        </w:rPr>
      </w:pPr>
    </w:p>
    <w:p w14:paraId="2CF2B831" w14:textId="02338575" w:rsidR="00293057" w:rsidRPr="009107B4" w:rsidRDefault="0098535A" w:rsidP="00C3380C">
      <w:pPr>
        <w:rPr>
          <w:rFonts w:asciiTheme="majorHAnsi" w:hAnsiTheme="majorHAnsi"/>
        </w:rPr>
      </w:pPr>
      <w:r>
        <w:rPr>
          <w:rFonts w:asciiTheme="majorHAnsi" w:hAnsiTheme="majorHAnsi"/>
        </w:rPr>
        <w:t>Premises are</w:t>
      </w:r>
      <w:r w:rsidR="00387ABD">
        <w:rPr>
          <w:rFonts w:asciiTheme="majorHAnsi" w:hAnsiTheme="majorHAnsi"/>
        </w:rPr>
        <w:t xml:space="preserve"> likely to be a residence</w:t>
      </w:r>
      <w:r w:rsidR="00C3380C" w:rsidRPr="009107B4">
        <w:rPr>
          <w:rFonts w:asciiTheme="majorHAnsi" w:hAnsiTheme="majorHAnsi"/>
        </w:rPr>
        <w:t xml:space="preserve"> when the premises is classified under the Building Code of Australia as one of the following:</w:t>
      </w:r>
    </w:p>
    <w:p w14:paraId="2897A547" w14:textId="59EBC838" w:rsidR="00C3380C" w:rsidRPr="009107B4" w:rsidRDefault="00C3380C" w:rsidP="00C3380C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9107B4">
        <w:rPr>
          <w:rFonts w:asciiTheme="majorHAnsi" w:hAnsiTheme="majorHAnsi"/>
        </w:rPr>
        <w:t xml:space="preserve">Class 1a – A single dwelling being a detached house, or one or more attached dwellings, each being a building, separated by a fire-resisting wall, including a row house, terrace </w:t>
      </w:r>
      <w:r w:rsidR="008D5820">
        <w:rPr>
          <w:rFonts w:asciiTheme="majorHAnsi" w:hAnsiTheme="majorHAnsi"/>
        </w:rPr>
        <w:t>house, town house or villa unit</w:t>
      </w:r>
    </w:p>
    <w:p w14:paraId="518FBC12" w14:textId="73FE01DE" w:rsidR="00C3380C" w:rsidRPr="009107B4" w:rsidRDefault="00C3380C" w:rsidP="00C3380C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9107B4">
        <w:rPr>
          <w:rFonts w:asciiTheme="majorHAnsi" w:hAnsiTheme="majorHAnsi"/>
        </w:rPr>
        <w:t>Class 2 – A building containing two or more sole-occupancy units each being a separate dwelling.</w:t>
      </w:r>
    </w:p>
    <w:p w14:paraId="294528BE" w14:textId="77777777" w:rsidR="00DD761C" w:rsidRPr="009107B4" w:rsidRDefault="00DD761C" w:rsidP="00C3380C">
      <w:pPr>
        <w:rPr>
          <w:rFonts w:asciiTheme="majorHAnsi" w:hAnsiTheme="majorHAnsi"/>
        </w:rPr>
      </w:pPr>
    </w:p>
    <w:p w14:paraId="40928D40" w14:textId="78586C1D" w:rsidR="003978F8" w:rsidRPr="009107B4" w:rsidRDefault="00046E37" w:rsidP="00C3380C">
      <w:pPr>
        <w:rPr>
          <w:rFonts w:asciiTheme="majorHAnsi" w:hAnsiTheme="majorHAnsi"/>
        </w:rPr>
      </w:pPr>
      <w:r w:rsidRPr="009107B4">
        <w:rPr>
          <w:rFonts w:asciiTheme="majorHAnsi" w:hAnsiTheme="majorHAnsi"/>
        </w:rPr>
        <w:t xml:space="preserve">A residence </w:t>
      </w:r>
      <w:r w:rsidR="00C3380C" w:rsidRPr="009107B4">
        <w:rPr>
          <w:rFonts w:asciiTheme="majorHAnsi" w:hAnsiTheme="majorHAnsi"/>
        </w:rPr>
        <w:t xml:space="preserve">would </w:t>
      </w:r>
      <w:r w:rsidRPr="009107B4">
        <w:rPr>
          <w:rFonts w:asciiTheme="majorHAnsi" w:hAnsiTheme="majorHAnsi"/>
        </w:rPr>
        <w:t>normally</w:t>
      </w:r>
      <w:r w:rsidR="00C3380C" w:rsidRPr="009107B4">
        <w:rPr>
          <w:rFonts w:asciiTheme="majorHAnsi" w:hAnsiTheme="majorHAnsi"/>
        </w:rPr>
        <w:t xml:space="preserve"> </w:t>
      </w:r>
      <w:r w:rsidRPr="009107B4">
        <w:rPr>
          <w:rFonts w:asciiTheme="majorHAnsi" w:hAnsiTheme="majorHAnsi"/>
        </w:rPr>
        <w:t>include</w:t>
      </w:r>
      <w:r w:rsidR="00C3380C" w:rsidRPr="009107B4">
        <w:rPr>
          <w:rFonts w:asciiTheme="majorHAnsi" w:hAnsiTheme="majorHAnsi"/>
        </w:rPr>
        <w:t xml:space="preserve"> a free-standing house</w:t>
      </w:r>
      <w:r w:rsidR="008D5820">
        <w:rPr>
          <w:rFonts w:asciiTheme="majorHAnsi" w:hAnsiTheme="majorHAnsi"/>
        </w:rPr>
        <w:t>,</w:t>
      </w:r>
      <w:r w:rsidR="00C3380C" w:rsidRPr="009107B4">
        <w:rPr>
          <w:rFonts w:asciiTheme="majorHAnsi" w:hAnsiTheme="majorHAnsi"/>
        </w:rPr>
        <w:t xml:space="preserve"> townhouse</w:t>
      </w:r>
      <w:r w:rsidR="008D5820">
        <w:rPr>
          <w:rFonts w:asciiTheme="majorHAnsi" w:hAnsiTheme="majorHAnsi"/>
        </w:rPr>
        <w:t>,</w:t>
      </w:r>
      <w:r w:rsidR="0002258C" w:rsidRPr="009107B4">
        <w:rPr>
          <w:rFonts w:asciiTheme="majorHAnsi" w:hAnsiTheme="majorHAnsi"/>
        </w:rPr>
        <w:t xml:space="preserve"> apartment</w:t>
      </w:r>
      <w:r w:rsidR="008D5820">
        <w:rPr>
          <w:rFonts w:asciiTheme="majorHAnsi" w:hAnsiTheme="majorHAnsi"/>
        </w:rPr>
        <w:t>,</w:t>
      </w:r>
      <w:r w:rsidR="00C3380C" w:rsidRPr="009107B4">
        <w:rPr>
          <w:rFonts w:asciiTheme="majorHAnsi" w:hAnsiTheme="majorHAnsi"/>
        </w:rPr>
        <w:t xml:space="preserve"> unit</w:t>
      </w:r>
      <w:r w:rsidR="008D5820">
        <w:rPr>
          <w:rFonts w:asciiTheme="majorHAnsi" w:hAnsiTheme="majorHAnsi"/>
        </w:rPr>
        <w:t>,</w:t>
      </w:r>
      <w:r w:rsidRPr="009107B4">
        <w:rPr>
          <w:rFonts w:asciiTheme="majorHAnsi" w:hAnsiTheme="majorHAnsi"/>
        </w:rPr>
        <w:t xml:space="preserve"> villa</w:t>
      </w:r>
      <w:r w:rsidR="008D5820">
        <w:rPr>
          <w:rFonts w:asciiTheme="majorHAnsi" w:hAnsiTheme="majorHAnsi"/>
        </w:rPr>
        <w:t>,</w:t>
      </w:r>
      <w:r w:rsidRPr="009107B4">
        <w:rPr>
          <w:rFonts w:asciiTheme="majorHAnsi" w:hAnsiTheme="majorHAnsi"/>
        </w:rPr>
        <w:t xml:space="preserve"> </w:t>
      </w:r>
      <w:r w:rsidR="0002258C" w:rsidRPr="009107B4">
        <w:rPr>
          <w:rFonts w:asciiTheme="majorHAnsi" w:hAnsiTheme="majorHAnsi"/>
        </w:rPr>
        <w:t xml:space="preserve">or </w:t>
      </w:r>
      <w:r w:rsidRPr="009107B4">
        <w:rPr>
          <w:rFonts w:asciiTheme="majorHAnsi" w:hAnsiTheme="majorHAnsi"/>
        </w:rPr>
        <w:t>granny flat</w:t>
      </w:r>
      <w:r w:rsidR="0002258C" w:rsidRPr="009107B4">
        <w:rPr>
          <w:rFonts w:asciiTheme="majorHAnsi" w:hAnsiTheme="majorHAnsi"/>
        </w:rPr>
        <w:t xml:space="preserve"> (including a</w:t>
      </w:r>
      <w:r w:rsidRPr="009107B4">
        <w:rPr>
          <w:rFonts w:asciiTheme="majorHAnsi" w:hAnsiTheme="majorHAnsi"/>
        </w:rPr>
        <w:t xml:space="preserve"> converted garage</w:t>
      </w:r>
      <w:r w:rsidR="0002258C" w:rsidRPr="009107B4">
        <w:rPr>
          <w:rFonts w:asciiTheme="majorHAnsi" w:hAnsiTheme="majorHAnsi"/>
        </w:rPr>
        <w:t>) that is attached to or detached from a house.</w:t>
      </w:r>
    </w:p>
    <w:p w14:paraId="5EE20921" w14:textId="60756159" w:rsidR="003978F8" w:rsidRPr="009107B4" w:rsidRDefault="003978F8" w:rsidP="00C3380C">
      <w:pPr>
        <w:rPr>
          <w:rFonts w:asciiTheme="majorHAnsi" w:hAnsiTheme="majorHAnsi"/>
        </w:rPr>
      </w:pPr>
    </w:p>
    <w:p w14:paraId="40DA9C8B" w14:textId="0467B165" w:rsidR="00D079D2" w:rsidRPr="009107B4" w:rsidRDefault="00451ED2" w:rsidP="00136A85">
      <w:pPr>
        <w:rPr>
          <w:rFonts w:asciiTheme="majorHAnsi" w:hAnsiTheme="majorHAnsi"/>
        </w:rPr>
      </w:pPr>
      <w:r w:rsidRPr="009107B4">
        <w:rPr>
          <w:rFonts w:asciiTheme="majorHAnsi" w:hAnsiTheme="majorHAnsi"/>
        </w:rPr>
        <w:lastRenderedPageBreak/>
        <w:t>In addition</w:t>
      </w:r>
      <w:r w:rsidR="00A058C9" w:rsidRPr="009107B4">
        <w:rPr>
          <w:rFonts w:asciiTheme="majorHAnsi" w:hAnsiTheme="majorHAnsi"/>
        </w:rPr>
        <w:t>,</w:t>
      </w:r>
      <w:r w:rsidRPr="009107B4">
        <w:rPr>
          <w:rFonts w:asciiTheme="majorHAnsi" w:hAnsiTheme="majorHAnsi"/>
        </w:rPr>
        <w:t xml:space="preserve"> the Approved Provider must ensure that the educator is providing education and care in the </w:t>
      </w:r>
      <w:r w:rsidR="000A3D45" w:rsidRPr="009107B4">
        <w:rPr>
          <w:rFonts w:asciiTheme="majorHAnsi" w:hAnsiTheme="majorHAnsi"/>
        </w:rPr>
        <w:t xml:space="preserve">habitable areas of </w:t>
      </w:r>
      <w:r w:rsidR="0038038B" w:rsidRPr="009107B4">
        <w:rPr>
          <w:rFonts w:asciiTheme="majorHAnsi" w:hAnsiTheme="majorHAnsi"/>
        </w:rPr>
        <w:t xml:space="preserve">the </w:t>
      </w:r>
      <w:r w:rsidR="000A3D45" w:rsidRPr="009107B4">
        <w:rPr>
          <w:rFonts w:asciiTheme="majorHAnsi" w:hAnsiTheme="majorHAnsi"/>
        </w:rPr>
        <w:t>dwelling</w:t>
      </w:r>
      <w:r w:rsidR="00A058C9" w:rsidRPr="009107B4">
        <w:rPr>
          <w:rFonts w:asciiTheme="majorHAnsi" w:hAnsiTheme="majorHAnsi"/>
        </w:rPr>
        <w:t>.  Th</w:t>
      </w:r>
      <w:r w:rsidR="00046E37" w:rsidRPr="009107B4">
        <w:rPr>
          <w:rFonts w:asciiTheme="majorHAnsi" w:hAnsiTheme="majorHAnsi"/>
        </w:rPr>
        <w:t xml:space="preserve">ese are </w:t>
      </w:r>
      <w:r w:rsidR="000A3D45" w:rsidRPr="009107B4">
        <w:rPr>
          <w:rFonts w:asciiTheme="majorHAnsi" w:hAnsiTheme="majorHAnsi"/>
        </w:rPr>
        <w:t>the areas of the dwelling</w:t>
      </w:r>
      <w:r w:rsidR="00B1477A">
        <w:rPr>
          <w:rFonts w:asciiTheme="majorHAnsi" w:hAnsiTheme="majorHAnsi"/>
        </w:rPr>
        <w:t>,</w:t>
      </w:r>
      <w:r w:rsidR="000A3D45" w:rsidRPr="009107B4">
        <w:rPr>
          <w:rFonts w:asciiTheme="majorHAnsi" w:hAnsiTheme="majorHAnsi"/>
        </w:rPr>
        <w:t xml:space="preserve"> </w:t>
      </w:r>
      <w:r w:rsidR="00D079D2" w:rsidRPr="009107B4">
        <w:rPr>
          <w:rFonts w:asciiTheme="majorHAnsi" w:hAnsiTheme="majorHAnsi"/>
        </w:rPr>
        <w:t xml:space="preserve">fit for human habitation.  Habitable areas are likely to be indicated by </w:t>
      </w:r>
      <w:r w:rsidR="00980AF2">
        <w:rPr>
          <w:rFonts w:asciiTheme="majorHAnsi" w:hAnsiTheme="majorHAnsi"/>
        </w:rPr>
        <w:t xml:space="preserve">those </w:t>
      </w:r>
      <w:r w:rsidR="00D079D2" w:rsidRPr="009107B4">
        <w:rPr>
          <w:rFonts w:asciiTheme="majorHAnsi" w:hAnsiTheme="majorHAnsi"/>
        </w:rPr>
        <w:t xml:space="preserve">meeting the requirements in National Regulations 103, </w:t>
      </w:r>
      <w:r w:rsidR="00BD0CA6" w:rsidRPr="009107B4">
        <w:rPr>
          <w:rFonts w:asciiTheme="majorHAnsi" w:hAnsiTheme="majorHAnsi"/>
        </w:rPr>
        <w:t xml:space="preserve">104, </w:t>
      </w:r>
      <w:r w:rsidR="00D079D2" w:rsidRPr="009107B4">
        <w:rPr>
          <w:rFonts w:asciiTheme="majorHAnsi" w:hAnsiTheme="majorHAnsi"/>
        </w:rPr>
        <w:t>105, 106, 109, 110, and 116, including the following:</w:t>
      </w:r>
    </w:p>
    <w:p w14:paraId="2DE0C766" w14:textId="4A1F3C63" w:rsidR="00D079D2" w:rsidRPr="009107B4" w:rsidRDefault="00B1477A" w:rsidP="005D79AE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structural stability, safe, clean and in good repair</w:t>
      </w:r>
    </w:p>
    <w:p w14:paraId="63ADA05C" w14:textId="54FC6079" w:rsidR="00D079D2" w:rsidRPr="009107B4" w:rsidRDefault="00B1477A" w:rsidP="00D079D2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D079D2" w:rsidRPr="009107B4">
        <w:rPr>
          <w:rFonts w:asciiTheme="majorHAnsi" w:hAnsiTheme="majorHAnsi"/>
        </w:rPr>
        <w:t>ontains, or has access to, amenities in wor</w:t>
      </w:r>
      <w:r w:rsidR="009107B4" w:rsidRPr="009107B4">
        <w:rPr>
          <w:rFonts w:asciiTheme="majorHAnsi" w:hAnsiTheme="majorHAnsi"/>
        </w:rPr>
        <w:t>king order, including a kitchen,</w:t>
      </w:r>
      <w:r w:rsidR="00D079D2" w:rsidRPr="009107B4">
        <w:rPr>
          <w:rFonts w:asciiTheme="majorHAnsi" w:hAnsiTheme="majorHAnsi"/>
        </w:rPr>
        <w:t xml:space="preserve"> toilet</w:t>
      </w:r>
      <w:r>
        <w:rPr>
          <w:rFonts w:asciiTheme="majorHAnsi" w:hAnsiTheme="majorHAnsi"/>
        </w:rPr>
        <w:t xml:space="preserve"> and washing facilities</w:t>
      </w:r>
    </w:p>
    <w:p w14:paraId="581F1E04" w14:textId="65413245" w:rsidR="000A3D45" w:rsidRPr="009107B4" w:rsidRDefault="00B1477A" w:rsidP="00D079D2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natural lighting and ventilation</w:t>
      </w:r>
    </w:p>
    <w:p w14:paraId="456D2831" w14:textId="3F05ECA1" w:rsidR="00D079D2" w:rsidRPr="009107B4" w:rsidRDefault="00B1477A" w:rsidP="00D079D2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electricity and water supply</w:t>
      </w:r>
    </w:p>
    <w:p w14:paraId="166D6C9A" w14:textId="1C6CB928" w:rsidR="00D079D2" w:rsidRPr="009107B4" w:rsidRDefault="00B1477A" w:rsidP="00D079D2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D079D2" w:rsidRPr="009107B4">
        <w:rPr>
          <w:rFonts w:asciiTheme="majorHAnsi" w:hAnsiTheme="majorHAnsi"/>
        </w:rPr>
        <w:t>rainage and sanitary facilities.</w:t>
      </w:r>
    </w:p>
    <w:p w14:paraId="52B561C2" w14:textId="77777777" w:rsidR="002B3F5D" w:rsidRPr="009107B4" w:rsidRDefault="002B3F5D" w:rsidP="00136A85">
      <w:pPr>
        <w:rPr>
          <w:rFonts w:asciiTheme="majorHAnsi" w:hAnsiTheme="majorHAnsi"/>
        </w:rPr>
      </w:pPr>
    </w:p>
    <w:p w14:paraId="61ED4737" w14:textId="551973CC" w:rsidR="007377CC" w:rsidRPr="00966641" w:rsidRDefault="003A60F9" w:rsidP="00136A85">
      <w:pPr>
        <w:rPr>
          <w:rFonts w:asciiTheme="majorHAnsi" w:hAnsiTheme="majorHAnsi"/>
        </w:rPr>
      </w:pPr>
      <w:r w:rsidRPr="00966641">
        <w:rPr>
          <w:rFonts w:asciiTheme="majorHAnsi" w:hAnsiTheme="majorHAnsi"/>
        </w:rPr>
        <w:t>For example</w:t>
      </w:r>
      <w:r w:rsidR="009107B4" w:rsidRPr="00966641">
        <w:rPr>
          <w:rFonts w:asciiTheme="majorHAnsi" w:hAnsiTheme="majorHAnsi"/>
        </w:rPr>
        <w:t>,</w:t>
      </w:r>
      <w:r w:rsidRPr="00966641">
        <w:rPr>
          <w:rFonts w:asciiTheme="majorHAnsi" w:hAnsiTheme="majorHAnsi"/>
        </w:rPr>
        <w:t xml:space="preserve"> </w:t>
      </w:r>
      <w:r w:rsidR="007377CC" w:rsidRPr="00966641">
        <w:rPr>
          <w:rFonts w:asciiTheme="majorHAnsi" w:hAnsiTheme="majorHAnsi"/>
        </w:rPr>
        <w:t xml:space="preserve">education and care proposed to be provided solely from </w:t>
      </w:r>
      <w:r w:rsidR="00D079D2" w:rsidRPr="00966641">
        <w:rPr>
          <w:rFonts w:asciiTheme="majorHAnsi" w:hAnsiTheme="majorHAnsi"/>
        </w:rPr>
        <w:t>an unconverted</w:t>
      </w:r>
      <w:r w:rsidR="007377CC" w:rsidRPr="00966641">
        <w:rPr>
          <w:rFonts w:asciiTheme="majorHAnsi" w:hAnsiTheme="majorHAnsi"/>
        </w:rPr>
        <w:t xml:space="preserve"> concrete</w:t>
      </w:r>
      <w:r w:rsidR="00D079D2" w:rsidRPr="00966641">
        <w:rPr>
          <w:rFonts w:asciiTheme="majorHAnsi" w:hAnsiTheme="majorHAnsi"/>
        </w:rPr>
        <w:t xml:space="preserve"> garage </w:t>
      </w:r>
      <w:r w:rsidR="007377CC" w:rsidRPr="00966641">
        <w:rPr>
          <w:rFonts w:asciiTheme="majorHAnsi" w:hAnsiTheme="majorHAnsi"/>
        </w:rPr>
        <w:t>within a house would not meet the above requirements.</w:t>
      </w:r>
      <w:r w:rsidR="00AC2C7B" w:rsidRPr="00966641">
        <w:rPr>
          <w:rFonts w:asciiTheme="majorHAnsi" w:hAnsiTheme="majorHAnsi"/>
        </w:rPr>
        <w:t xml:space="preserve">  </w:t>
      </w:r>
    </w:p>
    <w:p w14:paraId="1E0E376B" w14:textId="77777777" w:rsidR="007377CC" w:rsidRPr="00966641" w:rsidRDefault="007377CC" w:rsidP="00136A85">
      <w:pPr>
        <w:rPr>
          <w:rFonts w:asciiTheme="majorHAnsi" w:hAnsiTheme="majorHAnsi"/>
        </w:rPr>
      </w:pPr>
    </w:p>
    <w:p w14:paraId="73B6F963" w14:textId="02D34C5A" w:rsidR="00842451" w:rsidRDefault="007377CC" w:rsidP="00136A85">
      <w:pPr>
        <w:rPr>
          <w:rFonts w:asciiTheme="majorHAnsi" w:hAnsiTheme="majorHAnsi"/>
        </w:rPr>
      </w:pPr>
      <w:r w:rsidRPr="00966641">
        <w:rPr>
          <w:rFonts w:asciiTheme="majorHAnsi" w:hAnsiTheme="majorHAnsi"/>
        </w:rPr>
        <w:t>Further,</w:t>
      </w:r>
      <w:r w:rsidR="002D5ADE">
        <w:rPr>
          <w:rFonts w:asciiTheme="majorHAnsi" w:hAnsiTheme="majorHAnsi"/>
        </w:rPr>
        <w:t xml:space="preserve"> under</w:t>
      </w:r>
      <w:r w:rsidRPr="00966641">
        <w:rPr>
          <w:rFonts w:asciiTheme="majorHAnsi" w:hAnsiTheme="majorHAnsi"/>
        </w:rPr>
        <w:t xml:space="preserve"> </w:t>
      </w:r>
      <w:r w:rsidR="00AC2C7B" w:rsidRPr="00966641">
        <w:rPr>
          <w:rFonts w:asciiTheme="majorHAnsi" w:hAnsiTheme="majorHAnsi"/>
        </w:rPr>
        <w:t xml:space="preserve">the definition of an education and care service premises in Section 5 of the National Law, a family day care residence includes </w:t>
      </w:r>
      <w:r w:rsidR="00AC2C7B" w:rsidRPr="00966641">
        <w:rPr>
          <w:rFonts w:asciiTheme="majorHAnsi" w:hAnsiTheme="majorHAnsi"/>
          <w:u w:val="single"/>
        </w:rPr>
        <w:t>each part</w:t>
      </w:r>
      <w:r w:rsidR="00AC2C7B" w:rsidRPr="00966641">
        <w:rPr>
          <w:rFonts w:asciiTheme="majorHAnsi" w:hAnsiTheme="majorHAnsi"/>
        </w:rPr>
        <w:t xml:space="preserve"> of a residence used to provide education and care, or used to provide access to the part of the residence used to provide that education or care.</w:t>
      </w:r>
      <w:r w:rsidR="00BD0CA6" w:rsidRPr="00966641">
        <w:rPr>
          <w:rFonts w:asciiTheme="majorHAnsi" w:hAnsiTheme="majorHAnsi"/>
        </w:rPr>
        <w:t xml:space="preserve">  Therefore if a hallway from the front door </w:t>
      </w:r>
      <w:r w:rsidRPr="00966641">
        <w:rPr>
          <w:rFonts w:asciiTheme="majorHAnsi" w:hAnsiTheme="majorHAnsi"/>
        </w:rPr>
        <w:t xml:space="preserve">of the house </w:t>
      </w:r>
      <w:r w:rsidR="00BD0CA6" w:rsidRPr="00966641">
        <w:rPr>
          <w:rFonts w:asciiTheme="majorHAnsi" w:hAnsiTheme="majorHAnsi"/>
        </w:rPr>
        <w:t>provides access to the area</w:t>
      </w:r>
      <w:r w:rsidRPr="00966641">
        <w:rPr>
          <w:rFonts w:asciiTheme="majorHAnsi" w:hAnsiTheme="majorHAnsi"/>
        </w:rPr>
        <w:t>s</w:t>
      </w:r>
      <w:r w:rsidR="00BD0CA6" w:rsidRPr="00966641">
        <w:rPr>
          <w:rFonts w:asciiTheme="majorHAnsi" w:hAnsiTheme="majorHAnsi"/>
        </w:rPr>
        <w:t xml:space="preserve"> used </w:t>
      </w:r>
      <w:r w:rsidRPr="00966641">
        <w:rPr>
          <w:rFonts w:asciiTheme="majorHAnsi" w:hAnsiTheme="majorHAnsi"/>
        </w:rPr>
        <w:t xml:space="preserve">within the house </w:t>
      </w:r>
      <w:r w:rsidR="00BD0CA6" w:rsidRPr="00966641">
        <w:rPr>
          <w:rFonts w:asciiTheme="majorHAnsi" w:hAnsiTheme="majorHAnsi"/>
        </w:rPr>
        <w:t xml:space="preserve">to provide family day care, then this hallway </w:t>
      </w:r>
      <w:r w:rsidRPr="00966641">
        <w:rPr>
          <w:rFonts w:asciiTheme="majorHAnsi" w:hAnsiTheme="majorHAnsi"/>
        </w:rPr>
        <w:t>would be considered par</w:t>
      </w:r>
      <w:r w:rsidR="00BD0CA6" w:rsidRPr="00966641">
        <w:rPr>
          <w:rFonts w:asciiTheme="majorHAnsi" w:hAnsiTheme="majorHAnsi"/>
        </w:rPr>
        <w:t xml:space="preserve">t of the family day care </w:t>
      </w:r>
      <w:r w:rsidRPr="00966641">
        <w:rPr>
          <w:rFonts w:asciiTheme="majorHAnsi" w:hAnsiTheme="majorHAnsi"/>
        </w:rPr>
        <w:t>residence</w:t>
      </w:r>
      <w:r w:rsidR="00BD0CA6" w:rsidRPr="00966641">
        <w:rPr>
          <w:rFonts w:asciiTheme="majorHAnsi" w:hAnsiTheme="majorHAnsi"/>
        </w:rPr>
        <w:t>.</w:t>
      </w:r>
    </w:p>
    <w:p w14:paraId="75611D4D" w14:textId="77777777" w:rsidR="001C64F3" w:rsidRDefault="001C64F3" w:rsidP="001C64F3"/>
    <w:p w14:paraId="6DFAD8DD" w14:textId="33022C0F" w:rsidR="0051597E" w:rsidRPr="001C64F3" w:rsidRDefault="0051597E" w:rsidP="001C64F3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1C64F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Family day care venues</w:t>
      </w:r>
    </w:p>
    <w:p w14:paraId="6B9B2C00" w14:textId="1DC98A41" w:rsidR="002B3F5D" w:rsidRDefault="00842451" w:rsidP="00E30ED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Note that if </w:t>
      </w:r>
      <w:r w:rsidR="00E273F9">
        <w:rPr>
          <w:rFonts w:asciiTheme="majorHAnsi" w:hAnsiTheme="majorHAnsi"/>
        </w:rPr>
        <w:t xml:space="preserve">a </w:t>
      </w:r>
      <w:r w:rsidR="002E451A">
        <w:rPr>
          <w:rFonts w:asciiTheme="majorHAnsi" w:hAnsiTheme="majorHAnsi"/>
        </w:rPr>
        <w:t>proposed premises</w:t>
      </w:r>
      <w:r>
        <w:rPr>
          <w:rFonts w:asciiTheme="majorHAnsi" w:hAnsiTheme="majorHAnsi"/>
        </w:rPr>
        <w:t xml:space="preserve"> is not considered a</w:t>
      </w:r>
      <w:r w:rsidR="00E273F9">
        <w:rPr>
          <w:rFonts w:asciiTheme="majorHAnsi" w:hAnsiTheme="majorHAnsi"/>
        </w:rPr>
        <w:t xml:space="preserve"> family day care</w:t>
      </w:r>
      <w:r>
        <w:rPr>
          <w:rFonts w:asciiTheme="majorHAnsi" w:hAnsiTheme="majorHAnsi"/>
        </w:rPr>
        <w:t xml:space="preserve"> residence</w:t>
      </w:r>
      <w:r w:rsidR="00BD0CA6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it </w:t>
      </w:r>
      <w:r w:rsidR="0081654F">
        <w:rPr>
          <w:rFonts w:asciiTheme="majorHAnsi" w:hAnsiTheme="majorHAnsi"/>
        </w:rPr>
        <w:t>may</w:t>
      </w:r>
      <w:r>
        <w:rPr>
          <w:rFonts w:asciiTheme="majorHAnsi" w:hAnsiTheme="majorHAnsi"/>
        </w:rPr>
        <w:t xml:space="preserve"> be considered </w:t>
      </w:r>
      <w:r w:rsidR="002E451A">
        <w:rPr>
          <w:rFonts w:asciiTheme="majorHAnsi" w:hAnsiTheme="majorHAnsi"/>
        </w:rPr>
        <w:t xml:space="preserve">as </w:t>
      </w:r>
      <w:r>
        <w:rPr>
          <w:rFonts w:asciiTheme="majorHAnsi" w:hAnsiTheme="majorHAnsi"/>
        </w:rPr>
        <w:t>a</w:t>
      </w:r>
      <w:r w:rsidR="002E451A">
        <w:rPr>
          <w:rFonts w:asciiTheme="majorHAnsi" w:hAnsiTheme="majorHAnsi"/>
        </w:rPr>
        <w:t xml:space="preserve"> family day care</w:t>
      </w:r>
      <w:r>
        <w:rPr>
          <w:rFonts w:asciiTheme="majorHAnsi" w:hAnsiTheme="majorHAnsi"/>
        </w:rPr>
        <w:t xml:space="preserve"> venue</w:t>
      </w:r>
      <w:r w:rsidR="00E273F9">
        <w:rPr>
          <w:rFonts w:asciiTheme="majorHAnsi" w:hAnsiTheme="majorHAnsi"/>
        </w:rPr>
        <w:t xml:space="preserve"> in</w:t>
      </w:r>
      <w:r w:rsidR="00A0374E">
        <w:rPr>
          <w:rFonts w:asciiTheme="majorHAnsi" w:hAnsiTheme="majorHAnsi"/>
        </w:rPr>
        <w:t xml:space="preserve"> exceptional</w:t>
      </w:r>
      <w:r w:rsidR="00E273F9">
        <w:rPr>
          <w:rFonts w:asciiTheme="majorHAnsi" w:hAnsiTheme="majorHAnsi"/>
        </w:rPr>
        <w:t xml:space="preserve"> circumstances</w:t>
      </w:r>
      <w:r>
        <w:rPr>
          <w:rFonts w:asciiTheme="majorHAnsi" w:hAnsiTheme="majorHAnsi"/>
        </w:rPr>
        <w:t xml:space="preserve">.  </w:t>
      </w:r>
      <w:r w:rsidR="002E451A">
        <w:rPr>
          <w:rFonts w:asciiTheme="majorHAnsi" w:hAnsiTheme="majorHAnsi"/>
        </w:rPr>
        <w:t xml:space="preserve">Family day care </w:t>
      </w:r>
      <w:r>
        <w:rPr>
          <w:rFonts w:asciiTheme="majorHAnsi" w:hAnsiTheme="majorHAnsi"/>
        </w:rPr>
        <w:t xml:space="preserve">venues </w:t>
      </w:r>
      <w:r w:rsidRPr="00992CD9">
        <w:rPr>
          <w:rFonts w:asciiTheme="majorHAnsi" w:hAnsiTheme="majorHAnsi"/>
        </w:rPr>
        <w:t>must be approved by the Regulatory Authority</w:t>
      </w:r>
      <w:r w:rsidR="00C10275">
        <w:rPr>
          <w:rFonts w:asciiTheme="majorHAnsi" w:hAnsiTheme="majorHAnsi"/>
          <w:u w:val="single"/>
        </w:rPr>
        <w:t>,</w:t>
      </w:r>
      <w:r>
        <w:rPr>
          <w:rFonts w:asciiTheme="majorHAnsi" w:hAnsiTheme="majorHAnsi"/>
        </w:rPr>
        <w:t xml:space="preserve"> and can only be approved if the Regulatory Authority considers </w:t>
      </w:r>
      <w:r w:rsidR="007109B8">
        <w:rPr>
          <w:rFonts w:asciiTheme="majorHAnsi" w:hAnsiTheme="majorHAnsi"/>
        </w:rPr>
        <w:t xml:space="preserve">the venue to be suitable for family day care and that </w:t>
      </w:r>
      <w:r w:rsidR="0098535A">
        <w:rPr>
          <w:rFonts w:asciiTheme="majorHAnsi" w:hAnsiTheme="majorHAnsi"/>
        </w:rPr>
        <w:t>exceptional circumstances exist.</w:t>
      </w:r>
    </w:p>
    <w:p w14:paraId="44DDFC6B" w14:textId="77777777" w:rsidR="00BD0CA6" w:rsidRPr="002A0491" w:rsidRDefault="00BD0CA6" w:rsidP="00136A85">
      <w:pPr>
        <w:rPr>
          <w:rFonts w:asciiTheme="majorHAnsi" w:hAnsiTheme="majorHAnsi"/>
        </w:rPr>
      </w:pPr>
    </w:p>
    <w:p w14:paraId="4D8A4F83" w14:textId="00FCB07E" w:rsidR="00842451" w:rsidRPr="00173116" w:rsidRDefault="00842451" w:rsidP="00136A8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For more information, </w:t>
      </w:r>
      <w:r w:rsidR="00992CD9">
        <w:rPr>
          <w:rFonts w:asciiTheme="majorHAnsi" w:hAnsiTheme="majorHAnsi"/>
        </w:rPr>
        <w:t xml:space="preserve">search </w:t>
      </w:r>
      <w:r w:rsidR="008D5820">
        <w:rPr>
          <w:rFonts w:asciiTheme="majorHAnsi" w:hAnsiTheme="majorHAnsi"/>
        </w:rPr>
        <w:t>the d</w:t>
      </w:r>
      <w:r w:rsidR="00186AA1">
        <w:rPr>
          <w:rFonts w:asciiTheme="majorHAnsi" w:hAnsiTheme="majorHAnsi"/>
        </w:rPr>
        <w:t xml:space="preserve">epartment’s </w:t>
      </w:r>
      <w:hyperlink r:id="rId8" w:history="1">
        <w:r w:rsidR="00992CD9" w:rsidRPr="00992CD9">
          <w:rPr>
            <w:rStyle w:val="Hyperlink"/>
            <w:rFonts w:asciiTheme="majorHAnsi" w:hAnsiTheme="majorHAnsi"/>
          </w:rPr>
          <w:t>website</w:t>
        </w:r>
      </w:hyperlink>
      <w:r w:rsidR="00992CD9">
        <w:rPr>
          <w:rFonts w:asciiTheme="majorHAnsi" w:hAnsiTheme="majorHAnsi"/>
        </w:rPr>
        <w:t xml:space="preserve"> </w:t>
      </w:r>
      <w:hyperlink r:id="rId9" w:history="1">
        <w:r w:rsidR="00992CD9" w:rsidRPr="0075435A">
          <w:rPr>
            <w:rStyle w:val="Hyperlink"/>
            <w:rFonts w:asciiTheme="majorHAnsi" w:hAnsiTheme="majorHAnsi"/>
          </w:rPr>
          <w:t>www.earlychildhood.qld.gov.au/</w:t>
        </w:r>
      </w:hyperlink>
      <w:r w:rsidR="00992CD9">
        <w:rPr>
          <w:rFonts w:asciiTheme="majorHAnsi" w:hAnsiTheme="majorHAnsi"/>
        </w:rPr>
        <w:t xml:space="preserve"> for the </w:t>
      </w:r>
      <w:r w:rsidR="008D5820">
        <w:rPr>
          <w:rFonts w:asciiTheme="majorHAnsi" w:hAnsiTheme="majorHAnsi"/>
        </w:rPr>
        <w:t>f</w:t>
      </w:r>
      <w:r>
        <w:rPr>
          <w:rFonts w:asciiTheme="majorHAnsi" w:hAnsiTheme="majorHAnsi"/>
        </w:rPr>
        <w:t xml:space="preserve">act </w:t>
      </w:r>
      <w:r w:rsidR="008D5820">
        <w:rPr>
          <w:rFonts w:asciiTheme="majorHAnsi" w:hAnsiTheme="majorHAnsi"/>
        </w:rPr>
        <w:t>s</w:t>
      </w:r>
      <w:r>
        <w:rPr>
          <w:rFonts w:asciiTheme="majorHAnsi" w:hAnsiTheme="majorHAnsi"/>
        </w:rPr>
        <w:t>he</w:t>
      </w:r>
      <w:r w:rsidR="00992CD9">
        <w:rPr>
          <w:rFonts w:asciiTheme="majorHAnsi" w:hAnsiTheme="majorHAnsi"/>
        </w:rPr>
        <w:t>et for approved providers, ‘</w:t>
      </w:r>
      <w:r w:rsidRPr="00992CD9">
        <w:rPr>
          <w:rStyle w:val="Hyperlink"/>
          <w:rFonts w:asciiTheme="majorHAnsi" w:hAnsiTheme="majorHAnsi"/>
          <w:color w:val="auto"/>
          <w:u w:val="none"/>
        </w:rPr>
        <w:t>Approving family day care residences and approved family day care venues</w:t>
      </w:r>
      <w:r w:rsidR="00992CD9">
        <w:rPr>
          <w:rStyle w:val="Hyperlink"/>
          <w:rFonts w:asciiTheme="majorHAnsi" w:hAnsiTheme="majorHAnsi"/>
          <w:color w:val="auto"/>
          <w:u w:val="none"/>
        </w:rPr>
        <w:t>’</w:t>
      </w:r>
      <w:r w:rsidR="00186AA1" w:rsidRPr="00992CD9">
        <w:rPr>
          <w:rFonts w:asciiTheme="majorHAnsi" w:hAnsiTheme="majorHAnsi"/>
        </w:rPr>
        <w:t>.</w:t>
      </w:r>
    </w:p>
    <w:p w14:paraId="637B361C" w14:textId="77777777" w:rsidR="001C64F3" w:rsidRDefault="001C64F3" w:rsidP="001C64F3">
      <w:pPr>
        <w:pStyle w:val="Heading1"/>
        <w:spacing w:before="240"/>
      </w:pPr>
      <w:r>
        <w:t>Suitability of family day care premises</w:t>
      </w:r>
    </w:p>
    <w:p w14:paraId="58A158B8" w14:textId="1F9A3248" w:rsidR="001C64F3" w:rsidRDefault="001C64F3" w:rsidP="001C64F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Regulation 116 of the </w:t>
      </w:r>
      <w:r w:rsidRPr="00173116">
        <w:rPr>
          <w:rFonts w:asciiTheme="majorHAnsi" w:hAnsiTheme="majorHAnsi"/>
        </w:rPr>
        <w:t xml:space="preserve">Education and Care Services National Regulations </w:t>
      </w:r>
      <w:r>
        <w:rPr>
          <w:rFonts w:asciiTheme="majorHAnsi" w:hAnsiTheme="majorHAnsi"/>
        </w:rPr>
        <w:t>(</w:t>
      </w:r>
      <w:r w:rsidR="00992CD9">
        <w:rPr>
          <w:rFonts w:asciiTheme="majorHAnsi" w:hAnsiTheme="majorHAnsi"/>
        </w:rPr>
        <w:t>National Regulations) requires a</w:t>
      </w:r>
      <w:r w:rsidRPr="00173116">
        <w:rPr>
          <w:rFonts w:asciiTheme="majorHAnsi" w:hAnsiTheme="majorHAnsi"/>
        </w:rPr>
        <w:t xml:space="preserve">pproved </w:t>
      </w:r>
      <w:r w:rsidR="00992CD9">
        <w:rPr>
          <w:rFonts w:asciiTheme="majorHAnsi" w:hAnsiTheme="majorHAnsi"/>
        </w:rPr>
        <w:t>p</w:t>
      </w:r>
      <w:r w:rsidRPr="00173116">
        <w:rPr>
          <w:rFonts w:asciiTheme="majorHAnsi" w:hAnsiTheme="majorHAnsi"/>
        </w:rPr>
        <w:t>roviders to assess each</w:t>
      </w:r>
      <w:r>
        <w:rPr>
          <w:rFonts w:asciiTheme="majorHAnsi" w:hAnsiTheme="majorHAnsi"/>
        </w:rPr>
        <w:t xml:space="preserve"> proposed</w:t>
      </w:r>
      <w:r w:rsidRPr="0017311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family day care </w:t>
      </w:r>
      <w:r w:rsidRPr="00173116">
        <w:rPr>
          <w:rFonts w:asciiTheme="majorHAnsi" w:hAnsiTheme="majorHAnsi"/>
        </w:rPr>
        <w:t xml:space="preserve">residence </w:t>
      </w:r>
      <w:r>
        <w:rPr>
          <w:rFonts w:asciiTheme="majorHAnsi" w:hAnsiTheme="majorHAnsi"/>
        </w:rPr>
        <w:t>or venue before education and care is provid</w:t>
      </w:r>
      <w:r w:rsidR="00476CD5">
        <w:rPr>
          <w:rFonts w:asciiTheme="majorHAnsi" w:hAnsiTheme="majorHAnsi"/>
        </w:rPr>
        <w:t xml:space="preserve">ed to children at the premises, </w:t>
      </w:r>
      <w:r>
        <w:rPr>
          <w:rFonts w:asciiTheme="majorHAnsi" w:hAnsiTheme="majorHAnsi"/>
        </w:rPr>
        <w:t xml:space="preserve">to ensure the safety, health, and wellbeing of children.  </w:t>
      </w:r>
    </w:p>
    <w:p w14:paraId="68CFADE2" w14:textId="77777777" w:rsidR="0098535A" w:rsidRDefault="0098535A" w:rsidP="001C64F3">
      <w:pPr>
        <w:rPr>
          <w:rFonts w:asciiTheme="majorHAnsi" w:hAnsiTheme="majorHAnsi"/>
        </w:rPr>
      </w:pPr>
    </w:p>
    <w:p w14:paraId="59CE6DD8" w14:textId="39AABD0C" w:rsidR="001C64F3" w:rsidRDefault="001C64F3" w:rsidP="001C64F3">
      <w:pPr>
        <w:rPr>
          <w:rFonts w:asciiTheme="majorHAnsi" w:hAnsiTheme="majorHAnsi"/>
        </w:rPr>
      </w:pPr>
      <w:r>
        <w:rPr>
          <w:rFonts w:asciiTheme="majorHAnsi" w:hAnsiTheme="majorHAnsi"/>
        </w:rPr>
        <w:t>As part of the</w:t>
      </w:r>
      <w:r w:rsidR="00980AF2">
        <w:rPr>
          <w:rFonts w:asciiTheme="majorHAnsi" w:hAnsiTheme="majorHAnsi"/>
        </w:rPr>
        <w:t>ir</w:t>
      </w:r>
      <w:r w:rsidR="00992CD9">
        <w:rPr>
          <w:rFonts w:asciiTheme="majorHAnsi" w:hAnsiTheme="majorHAnsi"/>
        </w:rPr>
        <w:t xml:space="preserve"> assessment, a</w:t>
      </w:r>
      <w:r>
        <w:rPr>
          <w:rFonts w:asciiTheme="majorHAnsi" w:hAnsiTheme="majorHAnsi"/>
        </w:rPr>
        <w:t xml:space="preserve">pproved </w:t>
      </w:r>
      <w:r w:rsidR="00992CD9">
        <w:rPr>
          <w:rFonts w:asciiTheme="majorHAnsi" w:hAnsiTheme="majorHAnsi"/>
        </w:rPr>
        <w:t>p</w:t>
      </w:r>
      <w:r>
        <w:rPr>
          <w:rFonts w:asciiTheme="majorHAnsi" w:hAnsiTheme="majorHAnsi"/>
        </w:rPr>
        <w:t xml:space="preserve">roviders must consider </w:t>
      </w:r>
      <w:r w:rsidRPr="00173116">
        <w:rPr>
          <w:rFonts w:asciiTheme="majorHAnsi" w:hAnsiTheme="majorHAnsi"/>
        </w:rPr>
        <w:t xml:space="preserve">the suitability of the residence </w:t>
      </w:r>
      <w:r>
        <w:rPr>
          <w:rFonts w:asciiTheme="majorHAnsi" w:hAnsiTheme="majorHAnsi"/>
        </w:rPr>
        <w:t xml:space="preserve">or venue for the provision of family day care, </w:t>
      </w:r>
      <w:r w:rsidRPr="00173116">
        <w:rPr>
          <w:rFonts w:asciiTheme="majorHAnsi" w:hAnsiTheme="majorHAnsi"/>
        </w:rPr>
        <w:t xml:space="preserve">according to the number, ages and abilities of children </w:t>
      </w:r>
      <w:r>
        <w:rPr>
          <w:rFonts w:asciiTheme="majorHAnsi" w:hAnsiTheme="majorHAnsi"/>
        </w:rPr>
        <w:t>attending, or likely to attend, the education and care service</w:t>
      </w:r>
      <w:r w:rsidRPr="00173116">
        <w:rPr>
          <w:rFonts w:asciiTheme="majorHAnsi" w:hAnsiTheme="majorHAnsi"/>
        </w:rPr>
        <w:t xml:space="preserve">.  </w:t>
      </w:r>
    </w:p>
    <w:p w14:paraId="6D1D9879" w14:textId="77777777" w:rsidR="001C64F3" w:rsidRDefault="001C64F3" w:rsidP="0066238A">
      <w:pPr>
        <w:spacing w:before="80" w:after="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Requirements include: </w:t>
      </w:r>
    </w:p>
    <w:p w14:paraId="236F4987" w14:textId="1F960074" w:rsidR="001C64F3" w:rsidRPr="002E451A" w:rsidRDefault="001C64F3" w:rsidP="0066238A">
      <w:pPr>
        <w:pStyle w:val="ListParagraph"/>
        <w:numPr>
          <w:ilvl w:val="0"/>
          <w:numId w:val="7"/>
        </w:numPr>
        <w:spacing w:before="80" w:after="80"/>
        <w:rPr>
          <w:rFonts w:asciiTheme="majorHAnsi" w:hAnsiTheme="majorHAnsi"/>
        </w:rPr>
      </w:pPr>
      <w:r w:rsidRPr="002E451A">
        <w:rPr>
          <w:rFonts w:asciiTheme="majorHAnsi" w:hAnsiTheme="majorHAnsi"/>
        </w:rPr>
        <w:t>That the premises, furniture and equipment is safe, clean and in good repair (</w:t>
      </w:r>
      <w:r>
        <w:rPr>
          <w:rFonts w:asciiTheme="majorHAnsi" w:hAnsiTheme="majorHAnsi"/>
        </w:rPr>
        <w:t>R</w:t>
      </w:r>
      <w:r w:rsidRPr="002E451A">
        <w:rPr>
          <w:rFonts w:asciiTheme="majorHAnsi" w:hAnsiTheme="majorHAnsi"/>
        </w:rPr>
        <w:t>egulation</w:t>
      </w:r>
      <w:r>
        <w:rPr>
          <w:rFonts w:asciiTheme="majorHAnsi" w:hAnsiTheme="majorHAnsi"/>
        </w:rPr>
        <w:t> </w:t>
      </w:r>
      <w:r w:rsidRPr="002E451A">
        <w:rPr>
          <w:rFonts w:asciiTheme="majorHAnsi" w:hAnsiTheme="majorHAnsi"/>
        </w:rPr>
        <w:t>103)</w:t>
      </w:r>
      <w:r w:rsidR="00476CD5">
        <w:rPr>
          <w:rFonts w:asciiTheme="majorHAnsi" w:hAnsiTheme="majorHAnsi"/>
        </w:rPr>
        <w:t>,</w:t>
      </w:r>
      <w:r w:rsidRPr="002E451A">
        <w:rPr>
          <w:rFonts w:asciiTheme="majorHAnsi" w:hAnsiTheme="majorHAnsi"/>
        </w:rPr>
        <w:t xml:space="preserve"> </w:t>
      </w:r>
      <w:r w:rsidR="00980AF2">
        <w:rPr>
          <w:rFonts w:asciiTheme="majorHAnsi" w:hAnsiTheme="majorHAnsi"/>
        </w:rPr>
        <w:t xml:space="preserve">and </w:t>
      </w:r>
      <w:r>
        <w:rPr>
          <w:rFonts w:asciiTheme="majorHAnsi" w:hAnsiTheme="majorHAnsi"/>
        </w:rPr>
        <w:t>t</w:t>
      </w:r>
      <w:r w:rsidRPr="002E451A">
        <w:rPr>
          <w:rFonts w:asciiTheme="majorHAnsi" w:hAnsiTheme="majorHAnsi"/>
        </w:rPr>
        <w:t>hat the furniture, materials and equipment is sufficient and developmentally appropriate (</w:t>
      </w:r>
      <w:r>
        <w:rPr>
          <w:rFonts w:asciiTheme="majorHAnsi" w:hAnsiTheme="majorHAnsi"/>
        </w:rPr>
        <w:t>R</w:t>
      </w:r>
      <w:r w:rsidRPr="002E451A">
        <w:rPr>
          <w:rFonts w:asciiTheme="majorHAnsi" w:hAnsiTheme="majorHAnsi"/>
        </w:rPr>
        <w:t xml:space="preserve">egulation 105) </w:t>
      </w:r>
    </w:p>
    <w:p w14:paraId="7F648559" w14:textId="76A2C3D1" w:rsidR="001C64F3" w:rsidRDefault="001C64F3" w:rsidP="0066238A">
      <w:pPr>
        <w:pStyle w:val="ListParagraph"/>
        <w:numPr>
          <w:ilvl w:val="0"/>
          <w:numId w:val="7"/>
        </w:numPr>
        <w:spacing w:before="80" w:after="80"/>
        <w:rPr>
          <w:rFonts w:asciiTheme="majorHAnsi" w:hAnsiTheme="majorHAnsi"/>
        </w:rPr>
      </w:pPr>
      <w:r w:rsidRPr="002E451A">
        <w:rPr>
          <w:rFonts w:asciiTheme="majorHAnsi" w:hAnsiTheme="majorHAnsi"/>
        </w:rPr>
        <w:t>That outdoor spaces used by children are appropriately fenced (</w:t>
      </w:r>
      <w:r>
        <w:rPr>
          <w:rFonts w:asciiTheme="majorHAnsi" w:hAnsiTheme="majorHAnsi"/>
        </w:rPr>
        <w:t>R</w:t>
      </w:r>
      <w:r w:rsidR="00476CD5">
        <w:rPr>
          <w:rFonts w:asciiTheme="majorHAnsi" w:hAnsiTheme="majorHAnsi"/>
        </w:rPr>
        <w:t>egulation 104)</w:t>
      </w:r>
    </w:p>
    <w:p w14:paraId="4E5CA835" w14:textId="5BB201CE" w:rsidR="001C64F3" w:rsidRPr="002E451A" w:rsidRDefault="001C64F3" w:rsidP="0066238A">
      <w:pPr>
        <w:pStyle w:val="ListParagraph"/>
        <w:numPr>
          <w:ilvl w:val="0"/>
          <w:numId w:val="7"/>
        </w:numPr>
        <w:spacing w:before="80" w:after="80"/>
        <w:rPr>
          <w:rFonts w:asciiTheme="majorHAnsi" w:hAnsiTheme="majorHAnsi"/>
        </w:rPr>
      </w:pPr>
      <w:r>
        <w:rPr>
          <w:rFonts w:asciiTheme="majorHAnsi" w:hAnsiTheme="majorHAnsi"/>
        </w:rPr>
        <w:t>That</w:t>
      </w:r>
      <w:r w:rsidRPr="002E451A">
        <w:rPr>
          <w:rFonts w:asciiTheme="majorHAnsi" w:hAnsiTheme="majorHAnsi"/>
        </w:rPr>
        <w:t xml:space="preserve"> the premises has access to adequate and appropriate laundry and hygien</w:t>
      </w:r>
      <w:r>
        <w:rPr>
          <w:rFonts w:asciiTheme="majorHAnsi" w:hAnsiTheme="majorHAnsi"/>
        </w:rPr>
        <w:t xml:space="preserve">e facilities </w:t>
      </w:r>
      <w:r w:rsidR="0098535A">
        <w:rPr>
          <w:rFonts w:asciiTheme="majorHAnsi" w:hAnsiTheme="majorHAnsi"/>
        </w:rPr>
        <w:t>or</w:t>
      </w:r>
      <w:r>
        <w:rPr>
          <w:rFonts w:asciiTheme="majorHAnsi" w:hAnsiTheme="majorHAnsi"/>
        </w:rPr>
        <w:t xml:space="preserve"> arrangements (R</w:t>
      </w:r>
      <w:r w:rsidR="00476CD5">
        <w:rPr>
          <w:rFonts w:asciiTheme="majorHAnsi" w:hAnsiTheme="majorHAnsi"/>
        </w:rPr>
        <w:t>egulation 106)</w:t>
      </w:r>
      <w:r w:rsidRPr="002E451A">
        <w:rPr>
          <w:rFonts w:asciiTheme="majorHAnsi" w:hAnsiTheme="majorHAnsi"/>
        </w:rPr>
        <w:t xml:space="preserve"> </w:t>
      </w:r>
    </w:p>
    <w:p w14:paraId="53ADE347" w14:textId="565DC032" w:rsidR="001C64F3" w:rsidRPr="002E451A" w:rsidRDefault="001C64F3" w:rsidP="0066238A">
      <w:pPr>
        <w:pStyle w:val="ListParagraph"/>
        <w:numPr>
          <w:ilvl w:val="0"/>
          <w:numId w:val="7"/>
        </w:numPr>
        <w:spacing w:before="80" w:after="80"/>
        <w:rPr>
          <w:rFonts w:asciiTheme="majorHAnsi" w:hAnsiTheme="majorHAnsi"/>
        </w:rPr>
      </w:pPr>
      <w:r w:rsidRPr="002E451A">
        <w:rPr>
          <w:rFonts w:asciiTheme="majorHAnsi" w:hAnsiTheme="majorHAnsi"/>
        </w:rPr>
        <w:t>That adequate, safe, convenient and developmentally and age-appropriate toilet, washing and drying facilities are provided for use by children (</w:t>
      </w:r>
      <w:r>
        <w:rPr>
          <w:rFonts w:asciiTheme="majorHAnsi" w:hAnsiTheme="majorHAnsi"/>
        </w:rPr>
        <w:t>R</w:t>
      </w:r>
      <w:r w:rsidRPr="002E451A">
        <w:rPr>
          <w:rFonts w:asciiTheme="majorHAnsi" w:hAnsiTheme="majorHAnsi"/>
        </w:rPr>
        <w:t>egulation 1</w:t>
      </w:r>
      <w:r>
        <w:rPr>
          <w:rFonts w:asciiTheme="majorHAnsi" w:hAnsiTheme="majorHAnsi"/>
        </w:rPr>
        <w:t>09</w:t>
      </w:r>
      <w:r w:rsidR="00476CD5">
        <w:rPr>
          <w:rFonts w:asciiTheme="majorHAnsi" w:hAnsiTheme="majorHAnsi"/>
        </w:rPr>
        <w:t>)</w:t>
      </w:r>
      <w:r w:rsidRPr="002E451A">
        <w:rPr>
          <w:rFonts w:asciiTheme="majorHAnsi" w:hAnsiTheme="majorHAnsi"/>
        </w:rPr>
        <w:t xml:space="preserve"> </w:t>
      </w:r>
    </w:p>
    <w:p w14:paraId="50F4F575" w14:textId="65A31E98" w:rsidR="001C64F3" w:rsidRPr="002E451A" w:rsidRDefault="001C64F3" w:rsidP="0066238A">
      <w:pPr>
        <w:pStyle w:val="ListParagraph"/>
        <w:numPr>
          <w:ilvl w:val="0"/>
          <w:numId w:val="7"/>
        </w:numPr>
        <w:spacing w:before="80" w:after="80"/>
        <w:rPr>
          <w:rFonts w:asciiTheme="majorHAnsi" w:hAnsiTheme="majorHAnsi"/>
        </w:rPr>
      </w:pPr>
      <w:r w:rsidRPr="002E451A">
        <w:rPr>
          <w:rFonts w:asciiTheme="majorHAnsi" w:hAnsiTheme="majorHAnsi"/>
        </w:rPr>
        <w:lastRenderedPageBreak/>
        <w:t>That indoor spaces used by children are well ventilated, have adequate natural light</w:t>
      </w:r>
      <w:r w:rsidR="00476CD5">
        <w:rPr>
          <w:rFonts w:asciiTheme="majorHAnsi" w:hAnsiTheme="majorHAnsi"/>
        </w:rPr>
        <w:t>,</w:t>
      </w:r>
      <w:r w:rsidRPr="002E451A">
        <w:rPr>
          <w:rFonts w:asciiTheme="majorHAnsi" w:hAnsiTheme="majorHAnsi"/>
        </w:rPr>
        <w:t xml:space="preserve"> and are maintained at a temperature that ensures the safety and wellbeing of children (</w:t>
      </w:r>
      <w:r>
        <w:rPr>
          <w:rFonts w:asciiTheme="majorHAnsi" w:hAnsiTheme="majorHAnsi"/>
        </w:rPr>
        <w:t>R</w:t>
      </w:r>
      <w:r w:rsidRPr="002E451A">
        <w:rPr>
          <w:rFonts w:asciiTheme="majorHAnsi" w:hAnsiTheme="majorHAnsi"/>
        </w:rPr>
        <w:t xml:space="preserve">egulation 110).  </w:t>
      </w:r>
    </w:p>
    <w:p w14:paraId="2AA8C6DE" w14:textId="190D56FD" w:rsidR="001C64F3" w:rsidRDefault="001C64F3" w:rsidP="001C64F3">
      <w:pPr>
        <w:rPr>
          <w:rFonts w:asciiTheme="majorHAnsi" w:hAnsiTheme="majorHAnsi"/>
        </w:rPr>
      </w:pPr>
      <w:r>
        <w:rPr>
          <w:rFonts w:asciiTheme="majorHAnsi" w:hAnsiTheme="majorHAnsi"/>
        </w:rPr>
        <w:t>Other considerations include the suitability of nappy change arrangeme</w:t>
      </w:r>
      <w:r w:rsidR="00476CD5">
        <w:rPr>
          <w:rFonts w:asciiTheme="majorHAnsi" w:hAnsiTheme="majorHAnsi"/>
        </w:rPr>
        <w:t>nts,</w:t>
      </w:r>
      <w:r>
        <w:rPr>
          <w:rFonts w:asciiTheme="majorHAnsi" w:hAnsiTheme="majorHAnsi"/>
        </w:rPr>
        <w:t xml:space="preserve"> the existence of water hazards (e.g. wa</w:t>
      </w:r>
      <w:r w:rsidR="00476CD5">
        <w:rPr>
          <w:rFonts w:asciiTheme="majorHAnsi" w:hAnsiTheme="majorHAnsi"/>
        </w:rPr>
        <w:t>ter features or swimming pools),</w:t>
      </w:r>
      <w:r>
        <w:rPr>
          <w:rFonts w:asciiTheme="majorHAnsi" w:hAnsiTheme="majorHAnsi"/>
        </w:rPr>
        <w:t xml:space="preserve"> and the risk posed by animals (Regulation 116).</w:t>
      </w:r>
    </w:p>
    <w:p w14:paraId="27E204FF" w14:textId="77777777" w:rsidR="001C64F3" w:rsidRDefault="001C64F3" w:rsidP="001C64F3">
      <w:pPr>
        <w:rPr>
          <w:rFonts w:asciiTheme="majorHAnsi" w:hAnsiTheme="majorHAnsi"/>
        </w:rPr>
      </w:pPr>
    </w:p>
    <w:p w14:paraId="24E67604" w14:textId="2FE83DF0" w:rsidR="001C64F3" w:rsidRDefault="001C64F3" w:rsidP="001C64F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assessment must be </w:t>
      </w:r>
      <w:r w:rsidRPr="00173116">
        <w:rPr>
          <w:rFonts w:asciiTheme="majorHAnsi" w:hAnsiTheme="majorHAnsi"/>
        </w:rPr>
        <w:t xml:space="preserve">conducted before </w:t>
      </w:r>
      <w:r w:rsidR="00476CD5">
        <w:rPr>
          <w:rFonts w:asciiTheme="majorHAnsi" w:hAnsiTheme="majorHAnsi"/>
        </w:rPr>
        <w:t xml:space="preserve">education and care is provided </w:t>
      </w:r>
      <w:r w:rsidRPr="00173116">
        <w:rPr>
          <w:rFonts w:asciiTheme="majorHAnsi" w:hAnsiTheme="majorHAnsi"/>
        </w:rPr>
        <w:t xml:space="preserve">and </w:t>
      </w:r>
      <w:r>
        <w:rPr>
          <w:rFonts w:asciiTheme="majorHAnsi" w:hAnsiTheme="majorHAnsi"/>
        </w:rPr>
        <w:t xml:space="preserve">on an annual basis </w:t>
      </w:r>
      <w:r w:rsidRPr="00173116">
        <w:rPr>
          <w:rFonts w:asciiTheme="majorHAnsi" w:hAnsiTheme="majorHAnsi"/>
        </w:rPr>
        <w:t>thereafter</w:t>
      </w:r>
      <w:r>
        <w:rPr>
          <w:rFonts w:asciiTheme="majorHAnsi" w:hAnsiTheme="majorHAnsi"/>
        </w:rPr>
        <w:t>.</w:t>
      </w:r>
    </w:p>
    <w:p w14:paraId="3CCF5EB0" w14:textId="3650A7C3" w:rsidR="007A0E53" w:rsidRPr="00173116" w:rsidRDefault="00496631" w:rsidP="00BD0CA6">
      <w:pPr>
        <w:pStyle w:val="Heading1"/>
        <w:spacing w:before="240"/>
      </w:pPr>
      <w:r>
        <w:t>Dual c</w:t>
      </w:r>
      <w:r w:rsidR="005354BF">
        <w:t>are from the</w:t>
      </w:r>
      <w:r w:rsidR="007A0E53" w:rsidRPr="00173116">
        <w:t xml:space="preserve"> one dwelling</w:t>
      </w:r>
    </w:p>
    <w:p w14:paraId="0287D2AF" w14:textId="6F90A9BA" w:rsidR="00130575" w:rsidRDefault="00EC0DB7" w:rsidP="000C4EC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There may be occasions where </w:t>
      </w:r>
      <w:r w:rsidR="00323EFF">
        <w:rPr>
          <w:rFonts w:asciiTheme="majorHAnsi" w:hAnsiTheme="majorHAnsi"/>
        </w:rPr>
        <w:t xml:space="preserve">a </w:t>
      </w:r>
      <w:r>
        <w:rPr>
          <w:rFonts w:asciiTheme="majorHAnsi" w:hAnsiTheme="majorHAnsi"/>
        </w:rPr>
        <w:t>building</w:t>
      </w:r>
      <w:r w:rsidR="00130575">
        <w:rPr>
          <w:rFonts w:asciiTheme="majorHAnsi" w:hAnsiTheme="majorHAnsi"/>
        </w:rPr>
        <w:t xml:space="preserve"> has</w:t>
      </w:r>
      <w:r>
        <w:rPr>
          <w:rFonts w:asciiTheme="majorHAnsi" w:hAnsiTheme="majorHAnsi"/>
        </w:rPr>
        <w:t xml:space="preserve"> </w:t>
      </w:r>
      <w:r w:rsidR="002132DD">
        <w:rPr>
          <w:rFonts w:asciiTheme="majorHAnsi" w:hAnsiTheme="majorHAnsi"/>
        </w:rPr>
        <w:t xml:space="preserve">two self-contained </w:t>
      </w:r>
      <w:r w:rsidR="00650888">
        <w:rPr>
          <w:rFonts w:asciiTheme="majorHAnsi" w:hAnsiTheme="majorHAnsi"/>
        </w:rPr>
        <w:t xml:space="preserve">residential </w:t>
      </w:r>
      <w:r w:rsidR="002132DD">
        <w:rPr>
          <w:rFonts w:asciiTheme="majorHAnsi" w:hAnsiTheme="majorHAnsi"/>
        </w:rPr>
        <w:t xml:space="preserve">areas under </w:t>
      </w:r>
      <w:r>
        <w:rPr>
          <w:rFonts w:asciiTheme="majorHAnsi" w:hAnsiTheme="majorHAnsi"/>
        </w:rPr>
        <w:t>one roof</w:t>
      </w:r>
      <w:r w:rsidR="00130575">
        <w:rPr>
          <w:rFonts w:asciiTheme="majorHAnsi" w:hAnsiTheme="majorHAnsi"/>
        </w:rPr>
        <w:t>.  Each area b</w:t>
      </w:r>
      <w:r>
        <w:rPr>
          <w:rFonts w:asciiTheme="majorHAnsi" w:hAnsiTheme="majorHAnsi"/>
        </w:rPr>
        <w:t xml:space="preserve">eing self-contained </w:t>
      </w:r>
      <w:r w:rsidRPr="00992CD9">
        <w:rPr>
          <w:rFonts w:asciiTheme="majorHAnsi" w:hAnsiTheme="majorHAnsi"/>
        </w:rPr>
        <w:t>is not</w:t>
      </w:r>
      <w:r>
        <w:rPr>
          <w:rFonts w:asciiTheme="majorHAnsi" w:hAnsiTheme="majorHAnsi"/>
        </w:rPr>
        <w:t xml:space="preserve"> </w:t>
      </w:r>
      <w:r w:rsidR="002132DD">
        <w:rPr>
          <w:rFonts w:asciiTheme="majorHAnsi" w:hAnsiTheme="majorHAnsi"/>
        </w:rPr>
        <w:t xml:space="preserve">of itself </w:t>
      </w:r>
      <w:r>
        <w:rPr>
          <w:rFonts w:asciiTheme="majorHAnsi" w:hAnsiTheme="majorHAnsi"/>
        </w:rPr>
        <w:t xml:space="preserve">sufficient to be considered </w:t>
      </w:r>
      <w:r w:rsidR="00130575">
        <w:rPr>
          <w:rFonts w:asciiTheme="majorHAnsi" w:hAnsiTheme="majorHAnsi"/>
        </w:rPr>
        <w:t xml:space="preserve">as two </w:t>
      </w:r>
      <w:r>
        <w:rPr>
          <w:rFonts w:asciiTheme="majorHAnsi" w:hAnsiTheme="majorHAnsi"/>
        </w:rPr>
        <w:t xml:space="preserve">separate </w:t>
      </w:r>
      <w:r w:rsidR="002A0491">
        <w:rPr>
          <w:rFonts w:asciiTheme="majorHAnsi" w:hAnsiTheme="majorHAnsi"/>
        </w:rPr>
        <w:t>family day care</w:t>
      </w:r>
      <w:r w:rsidR="0013057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residences</w:t>
      </w:r>
      <w:r w:rsidR="00323EFF">
        <w:rPr>
          <w:rFonts w:asciiTheme="majorHAnsi" w:hAnsiTheme="majorHAnsi"/>
        </w:rPr>
        <w:t xml:space="preserve"> for the purposes of the National Law</w:t>
      </w:r>
      <w:r>
        <w:rPr>
          <w:rFonts w:asciiTheme="majorHAnsi" w:hAnsiTheme="majorHAnsi"/>
        </w:rPr>
        <w:t xml:space="preserve">.  </w:t>
      </w:r>
    </w:p>
    <w:p w14:paraId="2DFAF753" w14:textId="77777777" w:rsidR="00130575" w:rsidRDefault="00130575" w:rsidP="000C4EC2">
      <w:pPr>
        <w:rPr>
          <w:rFonts w:asciiTheme="majorHAnsi" w:hAnsiTheme="majorHAnsi"/>
        </w:rPr>
      </w:pPr>
    </w:p>
    <w:p w14:paraId="7DD58E08" w14:textId="109B633A" w:rsidR="0081654F" w:rsidRDefault="006A0FFC" w:rsidP="0081654F">
      <w:pPr>
        <w:rPr>
          <w:rFonts w:asciiTheme="majorHAnsi" w:hAnsiTheme="majorHAnsi"/>
        </w:rPr>
      </w:pPr>
      <w:r>
        <w:rPr>
          <w:rFonts w:asciiTheme="majorHAnsi" w:hAnsiTheme="majorHAnsi"/>
        </w:rPr>
        <w:t>It is the Regulatory Authority’s position that a</w:t>
      </w:r>
      <w:r w:rsidR="002A0491">
        <w:rPr>
          <w:rFonts w:asciiTheme="majorHAnsi" w:hAnsiTheme="majorHAnsi"/>
        </w:rPr>
        <w:t xml:space="preserve"> family day care</w:t>
      </w:r>
      <w:r w:rsidR="0013057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residence has clear separation from </w:t>
      </w:r>
      <w:r w:rsidR="008248FE">
        <w:rPr>
          <w:rFonts w:asciiTheme="majorHAnsi" w:hAnsiTheme="majorHAnsi"/>
        </w:rPr>
        <w:t xml:space="preserve">any </w:t>
      </w:r>
      <w:r>
        <w:rPr>
          <w:rFonts w:asciiTheme="majorHAnsi" w:hAnsiTheme="majorHAnsi"/>
        </w:rPr>
        <w:t>other residences</w:t>
      </w:r>
      <w:r w:rsidR="008248FE">
        <w:rPr>
          <w:rFonts w:asciiTheme="majorHAnsi" w:hAnsiTheme="majorHAnsi"/>
        </w:rPr>
        <w:t xml:space="preserve"> that may be located on the same lot</w:t>
      </w:r>
      <w:r>
        <w:rPr>
          <w:rFonts w:asciiTheme="majorHAnsi" w:hAnsiTheme="majorHAnsi"/>
        </w:rPr>
        <w:t xml:space="preserve">.  This may be </w:t>
      </w:r>
      <w:r w:rsidR="00130575">
        <w:rPr>
          <w:rFonts w:asciiTheme="majorHAnsi" w:hAnsiTheme="majorHAnsi"/>
        </w:rPr>
        <w:t>evi</w:t>
      </w:r>
      <w:r w:rsidR="00BA4975">
        <w:rPr>
          <w:rFonts w:asciiTheme="majorHAnsi" w:hAnsiTheme="majorHAnsi"/>
        </w:rPr>
        <w:t>denc</w:t>
      </w:r>
      <w:r w:rsidR="0081654F">
        <w:rPr>
          <w:rFonts w:asciiTheme="majorHAnsi" w:hAnsiTheme="majorHAnsi"/>
        </w:rPr>
        <w:t>ed</w:t>
      </w:r>
      <w:r w:rsidR="00130575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8F58B5">
        <w:rPr>
          <w:rFonts w:asciiTheme="majorHAnsi" w:hAnsiTheme="majorHAnsi"/>
        </w:rPr>
        <w:t>for example</w:t>
      </w:r>
      <w:r w:rsidR="00130575">
        <w:rPr>
          <w:rFonts w:asciiTheme="majorHAnsi" w:hAnsiTheme="majorHAnsi"/>
        </w:rPr>
        <w:t>,</w:t>
      </w:r>
      <w:r w:rsidR="008F58B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by </w:t>
      </w:r>
      <w:r w:rsidR="000C4EC2">
        <w:rPr>
          <w:rFonts w:asciiTheme="majorHAnsi" w:hAnsiTheme="majorHAnsi"/>
        </w:rPr>
        <w:t>a separate</w:t>
      </w:r>
      <w:r w:rsidR="00663F6C">
        <w:rPr>
          <w:rFonts w:asciiTheme="majorHAnsi" w:hAnsiTheme="majorHAnsi"/>
        </w:rPr>
        <w:t xml:space="preserve"> rates notice</w:t>
      </w:r>
      <w:r w:rsidR="0081654F">
        <w:rPr>
          <w:rFonts w:asciiTheme="majorHAnsi" w:hAnsiTheme="majorHAnsi"/>
        </w:rPr>
        <w:t xml:space="preserve">, </w:t>
      </w:r>
      <w:r w:rsidR="00BA4975">
        <w:rPr>
          <w:rFonts w:asciiTheme="majorHAnsi" w:hAnsiTheme="majorHAnsi"/>
        </w:rPr>
        <w:t xml:space="preserve">building </w:t>
      </w:r>
      <w:r w:rsidR="0081654F">
        <w:rPr>
          <w:rFonts w:asciiTheme="majorHAnsi" w:hAnsiTheme="majorHAnsi"/>
        </w:rPr>
        <w:t>certification as a residence</w:t>
      </w:r>
      <w:r w:rsidR="005B53A0">
        <w:rPr>
          <w:rFonts w:asciiTheme="majorHAnsi" w:hAnsiTheme="majorHAnsi"/>
        </w:rPr>
        <w:t>,</w:t>
      </w:r>
      <w:r w:rsidR="0081654F">
        <w:rPr>
          <w:rFonts w:asciiTheme="majorHAnsi" w:hAnsiTheme="majorHAnsi"/>
        </w:rPr>
        <w:t xml:space="preserve"> or being subject to a </w:t>
      </w:r>
      <w:r w:rsidR="00BD0CA6">
        <w:rPr>
          <w:rFonts w:asciiTheme="majorHAnsi" w:hAnsiTheme="majorHAnsi"/>
        </w:rPr>
        <w:t xml:space="preserve">residential general tenancy agreement (form 18a) </w:t>
      </w:r>
      <w:r w:rsidR="00523D25">
        <w:rPr>
          <w:rFonts w:asciiTheme="majorHAnsi" w:hAnsiTheme="majorHAnsi"/>
        </w:rPr>
        <w:t>from the Residential Tenancies Authority.</w:t>
      </w:r>
      <w:r w:rsidR="00663F6C">
        <w:rPr>
          <w:rFonts w:asciiTheme="majorHAnsi" w:hAnsiTheme="majorHAnsi"/>
        </w:rPr>
        <w:t xml:space="preserve">  </w:t>
      </w:r>
      <w:r w:rsidR="0081654F">
        <w:rPr>
          <w:rFonts w:asciiTheme="majorHAnsi" w:hAnsiTheme="majorHAnsi"/>
        </w:rPr>
        <w:t>Note that although</w:t>
      </w:r>
      <w:r w:rsidR="00BA4975">
        <w:rPr>
          <w:rFonts w:asciiTheme="majorHAnsi" w:hAnsiTheme="majorHAnsi"/>
        </w:rPr>
        <w:t xml:space="preserve"> such evidence may be provided, the residence</w:t>
      </w:r>
      <w:r w:rsidR="0081654F">
        <w:rPr>
          <w:rFonts w:asciiTheme="majorHAnsi" w:hAnsiTheme="majorHAnsi"/>
        </w:rPr>
        <w:t xml:space="preserve"> may </w:t>
      </w:r>
      <w:r w:rsidR="00BA4975">
        <w:rPr>
          <w:rFonts w:asciiTheme="majorHAnsi" w:hAnsiTheme="majorHAnsi"/>
        </w:rPr>
        <w:t xml:space="preserve">still </w:t>
      </w:r>
      <w:r w:rsidR="0081654F">
        <w:rPr>
          <w:rFonts w:asciiTheme="majorHAnsi" w:hAnsiTheme="majorHAnsi"/>
        </w:rPr>
        <w:t>be</w:t>
      </w:r>
      <w:r w:rsidR="00BA4975">
        <w:rPr>
          <w:rFonts w:asciiTheme="majorHAnsi" w:hAnsiTheme="majorHAnsi"/>
        </w:rPr>
        <w:t xml:space="preserve"> deemed</w:t>
      </w:r>
      <w:r w:rsidR="0081654F">
        <w:rPr>
          <w:rFonts w:asciiTheme="majorHAnsi" w:hAnsiTheme="majorHAnsi"/>
        </w:rPr>
        <w:t xml:space="preserve"> unsuitable </w:t>
      </w:r>
      <w:r w:rsidR="00BA4975">
        <w:rPr>
          <w:rFonts w:asciiTheme="majorHAnsi" w:hAnsiTheme="majorHAnsi"/>
        </w:rPr>
        <w:t>as</w:t>
      </w:r>
      <w:r w:rsidR="0081654F">
        <w:rPr>
          <w:rFonts w:asciiTheme="majorHAnsi" w:hAnsiTheme="majorHAnsi"/>
        </w:rPr>
        <w:t xml:space="preserve"> a family day care residence on other grounds (e.g. </w:t>
      </w:r>
      <w:r w:rsidR="00482921">
        <w:rPr>
          <w:rFonts w:asciiTheme="majorHAnsi" w:hAnsiTheme="majorHAnsi"/>
        </w:rPr>
        <w:t xml:space="preserve">under </w:t>
      </w:r>
      <w:r w:rsidR="0081654F">
        <w:rPr>
          <w:rFonts w:asciiTheme="majorHAnsi" w:hAnsiTheme="majorHAnsi"/>
        </w:rPr>
        <w:t xml:space="preserve">the regulations referred to </w:t>
      </w:r>
      <w:r w:rsidR="00BC6E31">
        <w:rPr>
          <w:rFonts w:asciiTheme="majorHAnsi" w:hAnsiTheme="majorHAnsi"/>
        </w:rPr>
        <w:t>above</w:t>
      </w:r>
      <w:r w:rsidR="0081654F">
        <w:rPr>
          <w:rFonts w:asciiTheme="majorHAnsi" w:hAnsiTheme="majorHAnsi"/>
        </w:rPr>
        <w:t>).</w:t>
      </w:r>
    </w:p>
    <w:p w14:paraId="5EC23266" w14:textId="77777777" w:rsidR="0081654F" w:rsidRDefault="0081654F" w:rsidP="0081654F">
      <w:pPr>
        <w:rPr>
          <w:rFonts w:asciiTheme="majorHAnsi" w:hAnsiTheme="majorHAnsi"/>
        </w:rPr>
      </w:pPr>
    </w:p>
    <w:p w14:paraId="4350CFE3" w14:textId="473CB4AB" w:rsidR="00663F6C" w:rsidRDefault="007565A0" w:rsidP="000C4EC2">
      <w:pPr>
        <w:rPr>
          <w:rFonts w:asciiTheme="majorHAnsi" w:hAnsiTheme="majorHAnsi"/>
        </w:rPr>
      </w:pPr>
      <w:r>
        <w:rPr>
          <w:rFonts w:asciiTheme="majorHAnsi" w:hAnsiTheme="majorHAnsi"/>
        </w:rPr>
        <w:t>For example</w:t>
      </w:r>
      <w:r w:rsidR="00663F6C">
        <w:rPr>
          <w:rFonts w:asciiTheme="majorHAnsi" w:hAnsiTheme="majorHAnsi"/>
        </w:rPr>
        <w:t>, a dwelling comprising an ancillary dwelling and a main dwelling under the same rates notice is considered</w:t>
      </w:r>
      <w:r w:rsidR="00130575">
        <w:rPr>
          <w:rFonts w:asciiTheme="majorHAnsi" w:hAnsiTheme="majorHAnsi"/>
        </w:rPr>
        <w:t xml:space="preserve"> to be one residence from which one educator can operate.</w:t>
      </w:r>
      <w:r w:rsidR="00482921">
        <w:rPr>
          <w:rFonts w:asciiTheme="majorHAnsi" w:hAnsiTheme="majorHAnsi"/>
        </w:rPr>
        <w:t xml:space="preserve">  </w:t>
      </w:r>
      <w:r w:rsidR="00130575">
        <w:rPr>
          <w:rFonts w:asciiTheme="majorHAnsi" w:hAnsiTheme="majorHAnsi"/>
        </w:rPr>
        <w:t>However,</w:t>
      </w:r>
      <w:r w:rsidR="000C4EC2">
        <w:rPr>
          <w:rFonts w:asciiTheme="majorHAnsi" w:hAnsiTheme="majorHAnsi"/>
        </w:rPr>
        <w:t xml:space="preserve"> a duplex residential building containing two separate homes sharing a common central wall,</w:t>
      </w:r>
      <w:r w:rsidR="00130575">
        <w:rPr>
          <w:rFonts w:asciiTheme="majorHAnsi" w:hAnsiTheme="majorHAnsi"/>
        </w:rPr>
        <w:t xml:space="preserve"> but</w:t>
      </w:r>
      <w:r w:rsidR="000C4EC2">
        <w:rPr>
          <w:rFonts w:asciiTheme="majorHAnsi" w:hAnsiTheme="majorHAnsi"/>
        </w:rPr>
        <w:t xml:space="preserve"> having separate title</w:t>
      </w:r>
      <w:r w:rsidR="00130575">
        <w:rPr>
          <w:rFonts w:asciiTheme="majorHAnsi" w:hAnsiTheme="majorHAnsi"/>
        </w:rPr>
        <w:t>s</w:t>
      </w:r>
      <w:r w:rsidR="000C4EC2">
        <w:rPr>
          <w:rFonts w:asciiTheme="majorHAnsi" w:hAnsiTheme="majorHAnsi"/>
        </w:rPr>
        <w:t xml:space="preserve"> and/or separate rates</w:t>
      </w:r>
      <w:r w:rsidR="00130575">
        <w:rPr>
          <w:rFonts w:asciiTheme="majorHAnsi" w:hAnsiTheme="majorHAnsi"/>
        </w:rPr>
        <w:t xml:space="preserve"> notices would constitute </w:t>
      </w:r>
      <w:r w:rsidR="000C4EC2">
        <w:rPr>
          <w:rFonts w:asciiTheme="majorHAnsi" w:hAnsiTheme="majorHAnsi"/>
        </w:rPr>
        <w:t>two</w:t>
      </w:r>
      <w:r w:rsidR="00130575">
        <w:rPr>
          <w:rFonts w:asciiTheme="majorHAnsi" w:hAnsiTheme="majorHAnsi"/>
        </w:rPr>
        <w:t xml:space="preserve"> separate </w:t>
      </w:r>
      <w:r w:rsidR="002A0491">
        <w:rPr>
          <w:rFonts w:asciiTheme="majorHAnsi" w:hAnsiTheme="majorHAnsi"/>
        </w:rPr>
        <w:t>family day care</w:t>
      </w:r>
      <w:r w:rsidR="000C4EC2">
        <w:rPr>
          <w:rFonts w:asciiTheme="majorHAnsi" w:hAnsiTheme="majorHAnsi"/>
        </w:rPr>
        <w:t xml:space="preserve"> residences</w:t>
      </w:r>
      <w:r w:rsidR="002B3F5D">
        <w:rPr>
          <w:rFonts w:asciiTheme="majorHAnsi" w:hAnsiTheme="majorHAnsi"/>
        </w:rPr>
        <w:t>, despite being situated on the one lot</w:t>
      </w:r>
      <w:r w:rsidR="000C4EC2">
        <w:rPr>
          <w:rFonts w:asciiTheme="majorHAnsi" w:hAnsiTheme="majorHAnsi"/>
        </w:rPr>
        <w:t xml:space="preserve">.  The Regulatory Authority would expect </w:t>
      </w:r>
      <w:r w:rsidR="00323EFF">
        <w:rPr>
          <w:rFonts w:asciiTheme="majorHAnsi" w:hAnsiTheme="majorHAnsi"/>
        </w:rPr>
        <w:t>an</w:t>
      </w:r>
      <w:r w:rsidR="00F96AC2">
        <w:rPr>
          <w:rFonts w:asciiTheme="majorHAnsi" w:hAnsiTheme="majorHAnsi"/>
        </w:rPr>
        <w:t xml:space="preserve"> A</w:t>
      </w:r>
      <w:r w:rsidR="000C4EC2">
        <w:rPr>
          <w:rFonts w:asciiTheme="majorHAnsi" w:hAnsiTheme="majorHAnsi"/>
        </w:rPr>
        <w:t xml:space="preserve">pproved </w:t>
      </w:r>
      <w:r w:rsidR="00F96AC2">
        <w:rPr>
          <w:rFonts w:asciiTheme="majorHAnsi" w:hAnsiTheme="majorHAnsi"/>
        </w:rPr>
        <w:t>P</w:t>
      </w:r>
      <w:r w:rsidR="000C4EC2">
        <w:rPr>
          <w:rFonts w:asciiTheme="majorHAnsi" w:hAnsiTheme="majorHAnsi"/>
        </w:rPr>
        <w:t xml:space="preserve">rovider to </w:t>
      </w:r>
      <w:r w:rsidR="00130575">
        <w:rPr>
          <w:rFonts w:asciiTheme="majorHAnsi" w:hAnsiTheme="majorHAnsi"/>
        </w:rPr>
        <w:t>hold</w:t>
      </w:r>
      <w:r w:rsidR="000C4EC2">
        <w:rPr>
          <w:rFonts w:asciiTheme="majorHAnsi" w:hAnsiTheme="majorHAnsi"/>
        </w:rPr>
        <w:t xml:space="preserve"> evidence that clearly establishes the separa</w:t>
      </w:r>
      <w:r w:rsidR="0066238A">
        <w:rPr>
          <w:rFonts w:asciiTheme="majorHAnsi" w:hAnsiTheme="majorHAnsi"/>
        </w:rPr>
        <w:t>tion</w:t>
      </w:r>
      <w:r w:rsidR="00042FB0">
        <w:rPr>
          <w:rFonts w:asciiTheme="majorHAnsi" w:hAnsiTheme="majorHAnsi"/>
        </w:rPr>
        <w:t xml:space="preserve"> of </w:t>
      </w:r>
      <w:r w:rsidR="00323EFF">
        <w:rPr>
          <w:rFonts w:asciiTheme="majorHAnsi" w:hAnsiTheme="majorHAnsi"/>
        </w:rPr>
        <w:t>each residence, beyond being self-contained.</w:t>
      </w:r>
    </w:p>
    <w:p w14:paraId="25D5A4BE" w14:textId="1F1CBC3A" w:rsidR="0081654F" w:rsidRDefault="0081654F" w:rsidP="000C4EC2">
      <w:pPr>
        <w:rPr>
          <w:rFonts w:asciiTheme="majorHAnsi" w:hAnsiTheme="majorHAnsi"/>
        </w:rPr>
      </w:pPr>
    </w:p>
    <w:p w14:paraId="3DEF95CE" w14:textId="77777777" w:rsidR="00F065D6" w:rsidRPr="00523D25" w:rsidRDefault="00F065D6" w:rsidP="00F065D6">
      <w:pPr>
        <w:pStyle w:val="Heading2"/>
      </w:pPr>
      <w:r w:rsidRPr="00523D25">
        <w:t>One educator per FDC residence</w:t>
      </w:r>
    </w:p>
    <w:p w14:paraId="256FA845" w14:textId="7B9CE5B8" w:rsidR="00F065D6" w:rsidRDefault="00F065D6" w:rsidP="00F065D6">
      <w:pPr>
        <w:rPr>
          <w:rFonts w:asciiTheme="majorHAnsi" w:hAnsiTheme="majorHAnsi"/>
        </w:rPr>
      </w:pPr>
      <w:r>
        <w:rPr>
          <w:rFonts w:asciiTheme="majorHAnsi" w:hAnsiTheme="majorHAnsi"/>
        </w:rPr>
        <w:t>Under the National Law</w:t>
      </w:r>
      <w:r w:rsidR="00476CD5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 family day care residence means a residence at </w:t>
      </w:r>
      <w:r w:rsidRPr="00132E34">
        <w:rPr>
          <w:rFonts w:asciiTheme="majorHAnsi" w:hAnsiTheme="majorHAnsi"/>
        </w:rPr>
        <w:t>which</w:t>
      </w:r>
      <w:r w:rsidRPr="00132E34">
        <w:rPr>
          <w:rFonts w:asciiTheme="majorHAnsi" w:hAnsiTheme="majorHAnsi"/>
          <w:b/>
        </w:rPr>
        <w:t xml:space="preserve"> </w:t>
      </w:r>
      <w:r w:rsidRPr="00132E34">
        <w:rPr>
          <w:rFonts w:asciiTheme="majorHAnsi" w:hAnsiTheme="majorHAnsi"/>
        </w:rPr>
        <w:t>a</w:t>
      </w:r>
      <w:r w:rsidRPr="00132E34">
        <w:rPr>
          <w:rFonts w:asciiTheme="majorHAnsi" w:hAnsiTheme="majorHAnsi"/>
          <w:b/>
        </w:rPr>
        <w:t xml:space="preserve"> </w:t>
      </w:r>
      <w:r w:rsidRPr="00992CD9">
        <w:rPr>
          <w:rFonts w:asciiTheme="majorHAnsi" w:hAnsiTheme="majorHAnsi"/>
        </w:rPr>
        <w:t>family day care educator</w:t>
      </w:r>
      <w:r>
        <w:rPr>
          <w:rFonts w:asciiTheme="majorHAnsi" w:hAnsiTheme="majorHAnsi"/>
        </w:rPr>
        <w:t xml:space="preserve"> educates and cares for children as part of a family day care service.  The position of the Regulatory Authority is that this definition restricts the provision of a family day care service to one family day care educator operating at any one time per family day care residence.  </w:t>
      </w:r>
    </w:p>
    <w:p w14:paraId="4C414306" w14:textId="3B05360B" w:rsidR="00F065D6" w:rsidRDefault="00F065D6" w:rsidP="00F065D6">
      <w:pPr>
        <w:rPr>
          <w:rFonts w:asciiTheme="majorHAnsi" w:hAnsiTheme="majorHAnsi"/>
        </w:rPr>
      </w:pPr>
      <w:r>
        <w:rPr>
          <w:rFonts w:asciiTheme="majorHAnsi" w:hAnsiTheme="majorHAnsi"/>
        </w:rPr>
        <w:t>It follows that application of National Regulation 124, relating to the number of children who can be educated and cared for by a family day care educator, is applied to a single residence.  A family day care educator must not educate and care for more than 7 children at a family day care residence at a</w:t>
      </w:r>
      <w:r w:rsidR="00132E34">
        <w:rPr>
          <w:rFonts w:asciiTheme="majorHAnsi" w:hAnsiTheme="majorHAnsi"/>
        </w:rPr>
        <w:t>ny one time (Regulation 124(1))</w:t>
      </w:r>
      <w:r>
        <w:rPr>
          <w:rFonts w:asciiTheme="majorHAnsi" w:hAnsiTheme="majorHAnsi"/>
        </w:rPr>
        <w:t xml:space="preserve"> and no more than 7 children can be educated and cared for as part of a family day care service at a family day care residence at any time (Regulation 124(3)).  </w:t>
      </w:r>
    </w:p>
    <w:p w14:paraId="4FFE9695" w14:textId="0224838C" w:rsidR="00482921" w:rsidRDefault="00482921" w:rsidP="00237079">
      <w:pPr>
        <w:pStyle w:val="Heading2"/>
      </w:pPr>
      <w:r>
        <w:t>Family day care and stand-alone care</w:t>
      </w:r>
    </w:p>
    <w:p w14:paraId="43E6E52B" w14:textId="395AF768" w:rsidR="00F065D6" w:rsidRPr="009337D5" w:rsidRDefault="00F065D6" w:rsidP="000C4EC2">
      <w:pPr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482921">
        <w:rPr>
          <w:rFonts w:asciiTheme="majorHAnsi" w:hAnsiTheme="majorHAnsi"/>
        </w:rPr>
        <w:t>tand-alone</w:t>
      </w:r>
      <w:r>
        <w:rPr>
          <w:rFonts w:asciiTheme="majorHAnsi" w:hAnsiTheme="majorHAnsi"/>
        </w:rPr>
        <w:t xml:space="preserve"> care is regulated under</w:t>
      </w:r>
      <w:r w:rsidR="00482921">
        <w:rPr>
          <w:rFonts w:asciiTheme="majorHAnsi" w:hAnsiTheme="majorHAnsi"/>
        </w:rPr>
        <w:t xml:space="preserve"> the </w:t>
      </w:r>
      <w:r w:rsidR="00482921" w:rsidRPr="00237079">
        <w:rPr>
          <w:rFonts w:asciiTheme="majorHAnsi" w:hAnsiTheme="majorHAnsi"/>
          <w:i/>
        </w:rPr>
        <w:t>Education and Care Services Act 2013</w:t>
      </w:r>
      <w:r w:rsidR="0098535A">
        <w:rPr>
          <w:rFonts w:asciiTheme="majorHAnsi" w:hAnsiTheme="majorHAnsi"/>
        </w:rPr>
        <w:t xml:space="preserve"> (Qld)</w:t>
      </w:r>
      <w:r>
        <w:rPr>
          <w:rFonts w:asciiTheme="majorHAnsi" w:hAnsiTheme="majorHAnsi"/>
        </w:rPr>
        <w:t xml:space="preserve">.  </w:t>
      </w:r>
      <w:r w:rsidR="0063262E">
        <w:rPr>
          <w:rFonts w:asciiTheme="majorHAnsi" w:hAnsiTheme="majorHAnsi"/>
        </w:rPr>
        <w:t>I</w:t>
      </w:r>
      <w:r w:rsidR="008A72A5">
        <w:rPr>
          <w:rFonts w:asciiTheme="majorHAnsi" w:hAnsiTheme="majorHAnsi"/>
        </w:rPr>
        <w:t xml:space="preserve">t is the Regulatory Authority’s position that stand-alone </w:t>
      </w:r>
      <w:r w:rsidR="0063262E">
        <w:rPr>
          <w:rFonts w:asciiTheme="majorHAnsi" w:hAnsiTheme="majorHAnsi"/>
        </w:rPr>
        <w:t>care</w:t>
      </w:r>
      <w:r w:rsidR="008A72A5">
        <w:rPr>
          <w:rFonts w:asciiTheme="majorHAnsi" w:hAnsiTheme="majorHAnsi"/>
        </w:rPr>
        <w:t xml:space="preserve"> cannot operate </w:t>
      </w:r>
      <w:r w:rsidR="00473414">
        <w:rPr>
          <w:rFonts w:asciiTheme="majorHAnsi" w:hAnsiTheme="majorHAnsi"/>
        </w:rPr>
        <w:t>at the same time</w:t>
      </w:r>
      <w:r w:rsidR="008A72A5">
        <w:rPr>
          <w:rFonts w:asciiTheme="majorHAnsi" w:hAnsiTheme="majorHAnsi"/>
        </w:rPr>
        <w:t xml:space="preserve"> out of the </w:t>
      </w:r>
      <w:r w:rsidR="008248FE">
        <w:rPr>
          <w:rFonts w:asciiTheme="majorHAnsi" w:hAnsiTheme="majorHAnsi"/>
        </w:rPr>
        <w:t>same dwelling</w:t>
      </w:r>
      <w:r w:rsidR="008A72A5">
        <w:rPr>
          <w:rFonts w:asciiTheme="majorHAnsi" w:hAnsiTheme="majorHAnsi"/>
        </w:rPr>
        <w:t xml:space="preserve"> </w:t>
      </w:r>
      <w:r w:rsidR="008248FE">
        <w:rPr>
          <w:rFonts w:asciiTheme="majorHAnsi" w:hAnsiTheme="majorHAnsi"/>
        </w:rPr>
        <w:t xml:space="preserve">where a </w:t>
      </w:r>
      <w:r w:rsidR="008A72A5">
        <w:rPr>
          <w:rFonts w:asciiTheme="majorHAnsi" w:hAnsiTheme="majorHAnsi"/>
        </w:rPr>
        <w:t>family day care service</w:t>
      </w:r>
      <w:r w:rsidR="008248FE">
        <w:rPr>
          <w:rFonts w:asciiTheme="majorHAnsi" w:hAnsiTheme="majorHAnsi"/>
        </w:rPr>
        <w:t xml:space="preserve"> is being delivered</w:t>
      </w:r>
      <w:r w:rsidR="008A72A5">
        <w:rPr>
          <w:rFonts w:asciiTheme="majorHAnsi" w:hAnsiTheme="majorHAnsi"/>
        </w:rPr>
        <w:t xml:space="preserve">.  </w:t>
      </w:r>
      <w:r w:rsidRPr="009337D5">
        <w:rPr>
          <w:rFonts w:asciiTheme="majorHAnsi" w:hAnsiTheme="majorHAnsi"/>
        </w:rPr>
        <w:t>For more information</w:t>
      </w:r>
      <w:r w:rsidR="008D5820">
        <w:rPr>
          <w:rFonts w:asciiTheme="majorHAnsi" w:hAnsiTheme="majorHAnsi"/>
        </w:rPr>
        <w:t xml:space="preserve">, </w:t>
      </w:r>
      <w:r w:rsidR="00992CD9">
        <w:rPr>
          <w:rFonts w:asciiTheme="majorHAnsi" w:hAnsiTheme="majorHAnsi"/>
        </w:rPr>
        <w:t xml:space="preserve">search the </w:t>
      </w:r>
      <w:r w:rsidR="008D5820">
        <w:rPr>
          <w:rFonts w:asciiTheme="majorHAnsi" w:hAnsiTheme="majorHAnsi"/>
        </w:rPr>
        <w:t>d</w:t>
      </w:r>
      <w:r w:rsidRPr="009337D5">
        <w:rPr>
          <w:rFonts w:asciiTheme="majorHAnsi" w:hAnsiTheme="majorHAnsi"/>
        </w:rPr>
        <w:t xml:space="preserve">epartment’s </w:t>
      </w:r>
      <w:hyperlink r:id="rId10" w:history="1">
        <w:r w:rsidR="00992CD9" w:rsidRPr="00992CD9">
          <w:rPr>
            <w:rStyle w:val="Hyperlink"/>
            <w:rFonts w:asciiTheme="majorHAnsi" w:hAnsiTheme="majorHAnsi"/>
          </w:rPr>
          <w:t>website</w:t>
        </w:r>
      </w:hyperlink>
      <w:r w:rsidR="00992CD9">
        <w:rPr>
          <w:rFonts w:asciiTheme="majorHAnsi" w:hAnsiTheme="majorHAnsi"/>
        </w:rPr>
        <w:t xml:space="preserve"> </w:t>
      </w:r>
      <w:hyperlink r:id="rId11" w:history="1">
        <w:r w:rsidR="00992CD9" w:rsidRPr="0075435A">
          <w:rPr>
            <w:rStyle w:val="Hyperlink"/>
            <w:rFonts w:asciiTheme="majorHAnsi" w:hAnsiTheme="majorHAnsi"/>
          </w:rPr>
          <w:t>www.earlychildhood.qld.gov.au/</w:t>
        </w:r>
      </w:hyperlink>
      <w:r w:rsidR="00992CD9">
        <w:rPr>
          <w:rFonts w:asciiTheme="majorHAnsi" w:hAnsiTheme="majorHAnsi"/>
        </w:rPr>
        <w:t xml:space="preserve"> for the </w:t>
      </w:r>
      <w:r w:rsidR="008D5820">
        <w:rPr>
          <w:rFonts w:asciiTheme="majorHAnsi" w:hAnsiTheme="majorHAnsi"/>
        </w:rPr>
        <w:t>f</w:t>
      </w:r>
      <w:r w:rsidRPr="009337D5">
        <w:rPr>
          <w:rFonts w:asciiTheme="majorHAnsi" w:hAnsiTheme="majorHAnsi"/>
        </w:rPr>
        <w:t xml:space="preserve">act </w:t>
      </w:r>
      <w:r w:rsidR="008D5820">
        <w:rPr>
          <w:rFonts w:asciiTheme="majorHAnsi" w:hAnsiTheme="majorHAnsi"/>
        </w:rPr>
        <w:t>s</w:t>
      </w:r>
      <w:r w:rsidRPr="009337D5">
        <w:rPr>
          <w:rFonts w:asciiTheme="majorHAnsi" w:hAnsiTheme="majorHAnsi"/>
        </w:rPr>
        <w:t>heet</w:t>
      </w:r>
      <w:r w:rsidR="0098535A">
        <w:rPr>
          <w:rFonts w:asciiTheme="majorHAnsi" w:hAnsiTheme="majorHAnsi"/>
        </w:rPr>
        <w:t xml:space="preserve"> on</w:t>
      </w:r>
      <w:r w:rsidRPr="009337D5">
        <w:rPr>
          <w:rFonts w:asciiTheme="majorHAnsi" w:hAnsiTheme="majorHAnsi"/>
        </w:rPr>
        <w:t xml:space="preserve"> </w:t>
      </w:r>
      <w:r w:rsidR="00992CD9">
        <w:rPr>
          <w:rFonts w:asciiTheme="majorHAnsi" w:hAnsiTheme="majorHAnsi"/>
        </w:rPr>
        <w:t>s</w:t>
      </w:r>
      <w:r w:rsidR="009337D5" w:rsidRPr="00992CD9">
        <w:rPr>
          <w:rStyle w:val="Hyperlink"/>
          <w:rFonts w:asciiTheme="majorHAnsi" w:hAnsiTheme="majorHAnsi"/>
          <w:color w:val="auto"/>
          <w:u w:val="none"/>
        </w:rPr>
        <w:t>tand-alone care.</w:t>
      </w:r>
    </w:p>
    <w:p w14:paraId="1F0A1F8B" w14:textId="235B0056" w:rsidR="00136A85" w:rsidRPr="00173116" w:rsidRDefault="00136A85" w:rsidP="00136A85">
      <w:pPr>
        <w:pStyle w:val="Heading1"/>
        <w:spacing w:before="240"/>
        <w:rPr>
          <w:w w:val="95"/>
        </w:rPr>
      </w:pPr>
      <w:r w:rsidRPr="00173116">
        <w:rPr>
          <w:spacing w:val="-6"/>
          <w:w w:val="95"/>
        </w:rPr>
        <w:t>More information</w:t>
      </w:r>
    </w:p>
    <w:p w14:paraId="6268D8AF" w14:textId="77777777" w:rsidR="00136A85" w:rsidRPr="005B53A0" w:rsidRDefault="00136A85" w:rsidP="002A0491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5B53A0">
        <w:rPr>
          <w:rFonts w:asciiTheme="majorHAnsi" w:hAnsiTheme="majorHAnsi"/>
        </w:rPr>
        <w:t xml:space="preserve">Email the department at </w:t>
      </w:r>
      <w:r w:rsidR="006E092E" w:rsidRPr="005B53A0">
        <w:rPr>
          <w:rFonts w:asciiTheme="majorHAnsi" w:hAnsiTheme="majorHAnsi"/>
        </w:rPr>
        <w:t>ecis@qed.qld.gov.au</w:t>
      </w:r>
      <w:r w:rsidR="00B50E5E" w:rsidRPr="005B53A0">
        <w:rPr>
          <w:rFonts w:asciiTheme="majorHAnsi" w:hAnsiTheme="majorHAnsi"/>
        </w:rPr>
        <w:t xml:space="preserve"> </w:t>
      </w:r>
    </w:p>
    <w:p w14:paraId="6B4D8C76" w14:textId="77777777" w:rsidR="00136A85" w:rsidRPr="005B53A0" w:rsidRDefault="00136A85" w:rsidP="002A0491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5B53A0">
        <w:rPr>
          <w:rFonts w:asciiTheme="majorHAnsi" w:hAnsiTheme="majorHAnsi"/>
        </w:rPr>
        <w:lastRenderedPageBreak/>
        <w:t xml:space="preserve">Contact your nearest regional office (visit the department’s website at </w:t>
      </w:r>
      <w:r w:rsidR="00B50E5E" w:rsidRPr="005B53A0">
        <w:rPr>
          <w:rFonts w:asciiTheme="majorHAnsi" w:hAnsiTheme="majorHAnsi"/>
        </w:rPr>
        <w:t>www.earlychildhood.qld.gov.au</w:t>
      </w:r>
      <w:r w:rsidRPr="005B53A0">
        <w:rPr>
          <w:rFonts w:asciiTheme="majorHAnsi" w:hAnsiTheme="majorHAnsi"/>
        </w:rPr>
        <w:t xml:space="preserve"> and search for “regional offices”).</w:t>
      </w:r>
    </w:p>
    <w:p w14:paraId="1912715F" w14:textId="77777777" w:rsidR="00136A85" w:rsidRPr="005B53A0" w:rsidRDefault="00136A85" w:rsidP="002A0491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5B53A0">
        <w:rPr>
          <w:rFonts w:asciiTheme="majorHAnsi" w:hAnsiTheme="majorHAnsi"/>
        </w:rPr>
        <w:t>Phone the Regulation, Assessment and Service Quality team on (07) 3328 6780.</w:t>
      </w:r>
    </w:p>
    <w:sectPr w:rsidR="00136A85" w:rsidRPr="005B53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FB76A" w14:textId="77777777" w:rsidR="00B77213" w:rsidRDefault="00B77213" w:rsidP="0051597E">
      <w:r>
        <w:separator/>
      </w:r>
    </w:p>
  </w:endnote>
  <w:endnote w:type="continuationSeparator" w:id="0">
    <w:p w14:paraId="18127C49" w14:textId="77777777" w:rsidR="00B77213" w:rsidRDefault="00B77213" w:rsidP="0051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D44CD" w14:textId="77777777" w:rsidR="00887457" w:rsidRDefault="008874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3A46C" w14:textId="19F21550" w:rsidR="00887457" w:rsidRPr="00765746" w:rsidRDefault="00765746">
    <w:pPr>
      <w:pStyle w:val="Footer"/>
      <w:rPr>
        <w:sz w:val="20"/>
        <w:szCs w:val="20"/>
      </w:rPr>
    </w:pPr>
    <w:r w:rsidRPr="00765746">
      <w:rPr>
        <w:sz w:val="20"/>
        <w:szCs w:val="20"/>
      </w:rPr>
      <w:t xml:space="preserve">Information correct at time of </w:t>
    </w:r>
    <w:bookmarkStart w:id="0" w:name="_GoBack"/>
    <w:bookmarkEnd w:id="0"/>
    <w:r w:rsidRPr="00765746">
      <w:rPr>
        <w:sz w:val="20"/>
        <w:szCs w:val="20"/>
      </w:rPr>
      <w:t>publication 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9EF8F" w14:textId="77777777" w:rsidR="00887457" w:rsidRDefault="008874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B9671" w14:textId="77777777" w:rsidR="00B77213" w:rsidRDefault="00B77213" w:rsidP="0051597E">
      <w:r>
        <w:separator/>
      </w:r>
    </w:p>
  </w:footnote>
  <w:footnote w:type="continuationSeparator" w:id="0">
    <w:p w14:paraId="55F2C05F" w14:textId="77777777" w:rsidR="00B77213" w:rsidRDefault="00B77213" w:rsidP="00515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C7A07" w14:textId="31CF60B0" w:rsidR="0051597E" w:rsidRDefault="000E217A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5A8DE5C" wp14:editId="7636DD2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78015" cy="1101725"/>
              <wp:effectExtent l="0" t="2019300" r="0" b="205105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78015" cy="11017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8F5BA" w14:textId="77777777" w:rsidR="000E217A" w:rsidRDefault="000E217A" w:rsidP="000E217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not for circulation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35A8DE5C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49.45pt;height:86.7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4CD8F5BA" w14:textId="77777777" w:rsidR="000E217A" w:rsidRDefault="000E217A" w:rsidP="000E217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not for circulation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AE6D7" w14:textId="66F9D876" w:rsidR="0051597E" w:rsidRPr="00765746" w:rsidRDefault="0051597E" w:rsidP="007657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10148" w14:textId="77777777" w:rsidR="00887457" w:rsidRDefault="008874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227"/>
      </w:pPr>
      <w:rPr>
        <w:rFonts w:ascii="Arial" w:hAnsi="Arial" w:cs="Arial"/>
        <w:b w:val="0"/>
        <w:bCs w:val="0"/>
        <w:w w:val="146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hanging="227"/>
      </w:pPr>
      <w:rPr>
        <w:rFonts w:ascii="Arial" w:hAnsi="Arial" w:cs="Arial"/>
        <w:b w:val="0"/>
        <w:bCs w:val="0"/>
        <w:w w:val="146"/>
        <w:sz w:val="20"/>
        <w:szCs w:val="20"/>
      </w:rPr>
    </w:lvl>
    <w:lvl w:ilvl="1">
      <w:numFmt w:val="bullet"/>
      <w:lvlText w:val="•"/>
      <w:lvlJc w:val="left"/>
      <w:pPr>
        <w:ind w:hanging="227"/>
      </w:pPr>
      <w:rPr>
        <w:rFonts w:ascii="Arial" w:hAnsi="Arial" w:cs="Arial"/>
        <w:b w:val="0"/>
        <w:bCs w:val="0"/>
        <w:w w:val="146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hanging="227"/>
      </w:pPr>
      <w:rPr>
        <w:rFonts w:ascii="Arial" w:hAnsi="Arial" w:cs="Arial"/>
        <w:b w:val="0"/>
        <w:bCs w:val="0"/>
        <w:w w:val="146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D411BD8"/>
    <w:multiLevelType w:val="hybridMultilevel"/>
    <w:tmpl w:val="B9DCC2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B42CBA"/>
    <w:multiLevelType w:val="hybridMultilevel"/>
    <w:tmpl w:val="2C66A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3D2E69"/>
    <w:multiLevelType w:val="hybridMultilevel"/>
    <w:tmpl w:val="6B3EC1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854E7B"/>
    <w:multiLevelType w:val="hybridMultilevel"/>
    <w:tmpl w:val="F224F6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1667F6"/>
    <w:multiLevelType w:val="hybridMultilevel"/>
    <w:tmpl w:val="515226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E96ED7"/>
    <w:multiLevelType w:val="hybridMultilevel"/>
    <w:tmpl w:val="FB021A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0D4E16"/>
    <w:multiLevelType w:val="hybridMultilevel"/>
    <w:tmpl w:val="60087D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D539FF"/>
    <w:multiLevelType w:val="hybridMultilevel"/>
    <w:tmpl w:val="468C0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A31E8"/>
    <w:multiLevelType w:val="hybridMultilevel"/>
    <w:tmpl w:val="783283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11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82"/>
    <w:rsid w:val="0002258C"/>
    <w:rsid w:val="000268AE"/>
    <w:rsid w:val="00041D37"/>
    <w:rsid w:val="00042FB0"/>
    <w:rsid w:val="00046E37"/>
    <w:rsid w:val="000A3459"/>
    <w:rsid w:val="000A3D45"/>
    <w:rsid w:val="000A77A6"/>
    <w:rsid w:val="000C46C5"/>
    <w:rsid w:val="000C4EC2"/>
    <w:rsid w:val="000D566A"/>
    <w:rsid w:val="000E217A"/>
    <w:rsid w:val="0011052D"/>
    <w:rsid w:val="00130575"/>
    <w:rsid w:val="00132E34"/>
    <w:rsid w:val="00136A85"/>
    <w:rsid w:val="00164BFA"/>
    <w:rsid w:val="00173116"/>
    <w:rsid w:val="00185814"/>
    <w:rsid w:val="00186AA1"/>
    <w:rsid w:val="001B0768"/>
    <w:rsid w:val="001C64F3"/>
    <w:rsid w:val="001C6B43"/>
    <w:rsid w:val="001F7899"/>
    <w:rsid w:val="00204656"/>
    <w:rsid w:val="002132DD"/>
    <w:rsid w:val="00237079"/>
    <w:rsid w:val="00275D4F"/>
    <w:rsid w:val="00280EF0"/>
    <w:rsid w:val="00290088"/>
    <w:rsid w:val="00293057"/>
    <w:rsid w:val="0029665F"/>
    <w:rsid w:val="002A0491"/>
    <w:rsid w:val="002B3F5D"/>
    <w:rsid w:val="002D5ADE"/>
    <w:rsid w:val="002D71D7"/>
    <w:rsid w:val="002E451A"/>
    <w:rsid w:val="003110A6"/>
    <w:rsid w:val="00323EFF"/>
    <w:rsid w:val="00355AF9"/>
    <w:rsid w:val="0038038B"/>
    <w:rsid w:val="0038136D"/>
    <w:rsid w:val="00387ABD"/>
    <w:rsid w:val="003978F8"/>
    <w:rsid w:val="003A60F9"/>
    <w:rsid w:val="0040767C"/>
    <w:rsid w:val="00410D74"/>
    <w:rsid w:val="00451ED2"/>
    <w:rsid w:val="00473414"/>
    <w:rsid w:val="00476CD5"/>
    <w:rsid w:val="004828A1"/>
    <w:rsid w:val="00482921"/>
    <w:rsid w:val="00496631"/>
    <w:rsid w:val="004A54C2"/>
    <w:rsid w:val="0051597E"/>
    <w:rsid w:val="00523D25"/>
    <w:rsid w:val="005354BF"/>
    <w:rsid w:val="005405BA"/>
    <w:rsid w:val="00565AE1"/>
    <w:rsid w:val="005B53A0"/>
    <w:rsid w:val="00602FD9"/>
    <w:rsid w:val="0063262E"/>
    <w:rsid w:val="00650888"/>
    <w:rsid w:val="0066238A"/>
    <w:rsid w:val="00663F6C"/>
    <w:rsid w:val="006736A0"/>
    <w:rsid w:val="006A0FFC"/>
    <w:rsid w:val="006E092E"/>
    <w:rsid w:val="006F3FCA"/>
    <w:rsid w:val="007109B8"/>
    <w:rsid w:val="007377CC"/>
    <w:rsid w:val="007565A0"/>
    <w:rsid w:val="00765746"/>
    <w:rsid w:val="007802F0"/>
    <w:rsid w:val="007A0E53"/>
    <w:rsid w:val="007F7DF3"/>
    <w:rsid w:val="00803872"/>
    <w:rsid w:val="0080396A"/>
    <w:rsid w:val="0081654F"/>
    <w:rsid w:val="008248FE"/>
    <w:rsid w:val="00837896"/>
    <w:rsid w:val="00842451"/>
    <w:rsid w:val="00887457"/>
    <w:rsid w:val="008A0529"/>
    <w:rsid w:val="008A72A5"/>
    <w:rsid w:val="008D5820"/>
    <w:rsid w:val="008F58B5"/>
    <w:rsid w:val="009107B4"/>
    <w:rsid w:val="009337D5"/>
    <w:rsid w:val="00943D8E"/>
    <w:rsid w:val="00966641"/>
    <w:rsid w:val="00971C6F"/>
    <w:rsid w:val="0097777E"/>
    <w:rsid w:val="00980AF2"/>
    <w:rsid w:val="00983882"/>
    <w:rsid w:val="0098535A"/>
    <w:rsid w:val="00992CD9"/>
    <w:rsid w:val="009A18AF"/>
    <w:rsid w:val="00A0374E"/>
    <w:rsid w:val="00A058C9"/>
    <w:rsid w:val="00A72164"/>
    <w:rsid w:val="00A97690"/>
    <w:rsid w:val="00AC2C7B"/>
    <w:rsid w:val="00AC4A00"/>
    <w:rsid w:val="00AC77F5"/>
    <w:rsid w:val="00AD652F"/>
    <w:rsid w:val="00AE41CA"/>
    <w:rsid w:val="00AF7AA4"/>
    <w:rsid w:val="00B1477A"/>
    <w:rsid w:val="00B50E5E"/>
    <w:rsid w:val="00B61DB4"/>
    <w:rsid w:val="00B63165"/>
    <w:rsid w:val="00B673F8"/>
    <w:rsid w:val="00B77213"/>
    <w:rsid w:val="00B8732C"/>
    <w:rsid w:val="00BA4975"/>
    <w:rsid w:val="00BB7FA1"/>
    <w:rsid w:val="00BC6E31"/>
    <w:rsid w:val="00BD0CA6"/>
    <w:rsid w:val="00BE4C48"/>
    <w:rsid w:val="00C10275"/>
    <w:rsid w:val="00C20093"/>
    <w:rsid w:val="00C325D2"/>
    <w:rsid w:val="00C3380C"/>
    <w:rsid w:val="00CB295B"/>
    <w:rsid w:val="00CD2D53"/>
    <w:rsid w:val="00CE1D32"/>
    <w:rsid w:val="00D079D2"/>
    <w:rsid w:val="00D52632"/>
    <w:rsid w:val="00D65D69"/>
    <w:rsid w:val="00D75EA7"/>
    <w:rsid w:val="00DA0C49"/>
    <w:rsid w:val="00DD761C"/>
    <w:rsid w:val="00E237A5"/>
    <w:rsid w:val="00E273F9"/>
    <w:rsid w:val="00E30ED4"/>
    <w:rsid w:val="00E709B5"/>
    <w:rsid w:val="00EC0DB7"/>
    <w:rsid w:val="00F05BC0"/>
    <w:rsid w:val="00F065D6"/>
    <w:rsid w:val="00F24E3E"/>
    <w:rsid w:val="00F446DD"/>
    <w:rsid w:val="00F87F5F"/>
    <w:rsid w:val="00F913E0"/>
    <w:rsid w:val="00F96AC2"/>
    <w:rsid w:val="00FA6EF6"/>
    <w:rsid w:val="00FD3B0F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E558525"/>
  <w15:docId w15:val="{759ACFE9-F354-40EE-BCE6-96E1DC33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8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9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983882"/>
    <w:pPr>
      <w:widowControl w:val="0"/>
      <w:autoSpaceDE w:val="0"/>
      <w:autoSpaceDN w:val="0"/>
      <w:adjustRightInd w:val="0"/>
      <w:spacing w:before="57"/>
      <w:ind w:left="85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83882"/>
    <w:rPr>
      <w:rFonts w:ascii="Arial" w:hAnsi="Arial" w:cs="Arial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36A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6A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36A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0E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6B4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D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DB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D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D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D8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59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97E"/>
  </w:style>
  <w:style w:type="paragraph" w:styleId="Footer">
    <w:name w:val="footer"/>
    <w:basedOn w:val="Normal"/>
    <w:link w:val="FooterChar"/>
    <w:uiPriority w:val="99"/>
    <w:unhideWhenUsed/>
    <w:rsid w:val="005159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97E"/>
  </w:style>
  <w:style w:type="character" w:customStyle="1" w:styleId="Heading2Char">
    <w:name w:val="Heading 2 Char"/>
    <w:basedOn w:val="DefaultParagraphFont"/>
    <w:link w:val="Heading2"/>
    <w:uiPriority w:val="9"/>
    <w:rsid w:val="005159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E217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rlychildhood.qld.gov.a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arlychildhood.qld.gov.a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arlychildhood.qld.gov.a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arlychildhood.qld.gov.au/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STEER, Stephanie</DisplayName>
        <AccountId>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2023-08-28T02:05:34+00:00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2023-08-28T02:05:34+00:00</PPLastReviewedDate>
    <PPSubmittedDate xmlns="687c0ba5-25f6-467d-a8e9-4285ca7a69ae" xsi:nil="true"/>
    <PPSubmittedBy xmlns="687c0ba5-25f6-467d-a8e9-4285ca7a69ae">
      <UserInfo>
        <DisplayName/>
        <AccountId xsi:nil="true"/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4BE8F62DA3E42B4443134EBEFCDA6" ma:contentTypeVersion="1" ma:contentTypeDescription="Create a new document." ma:contentTypeScope="" ma:versionID="b0b50bcdce9f9e44a464798bfc35c76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4DF987-B7EA-44A2-A223-24841930322E}"/>
</file>

<file path=customXml/itemProps2.xml><?xml version="1.0" encoding="utf-8"?>
<ds:datastoreItem xmlns:ds="http://schemas.openxmlformats.org/officeDocument/2006/customXml" ds:itemID="{0612697A-B800-4E25-972E-E4958FBEC263}"/>
</file>

<file path=customXml/itemProps3.xml><?xml version="1.0" encoding="utf-8"?>
<ds:datastoreItem xmlns:ds="http://schemas.openxmlformats.org/officeDocument/2006/customXml" ds:itemID="{C6859A93-D14D-47F7-8BAE-5F6BDBF0DD28}"/>
</file>

<file path=customXml/itemProps4.xml><?xml version="1.0" encoding="utf-8"?>
<ds:datastoreItem xmlns:ds="http://schemas.openxmlformats.org/officeDocument/2006/customXml" ds:itemID="{1994CDFB-FFAE-410D-AB47-EA942BEDA7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Assessments of family day care residences fact sheet</dc:title>
  <dc:subject>Assessments of family day care residences fact sheet</dc:subject>
  <dc:creator>Queensland Government</dc:creator>
  <cp:keywords>Assessments of family day care residences; fact sheet</cp:keywords>
  <cp:revision>35</cp:revision>
  <cp:lastPrinted>2018-04-30T22:46:00Z</cp:lastPrinted>
  <dcterms:created xsi:type="dcterms:W3CDTF">2019-01-18T04:31:00Z</dcterms:created>
  <dcterms:modified xsi:type="dcterms:W3CDTF">2019-04-15T01:42:00Z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0x01010056F4BE8F62DA3E42B4443134EBEFCDA6</vt:lpwstr>
  </property>
</Properties>
</file>