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239"/>
        <w:gridCol w:w="1687"/>
        <w:gridCol w:w="5604"/>
      </w:tblGrid>
      <w:tr w:rsidR="001E2DB9" w:rsidRPr="00CA742A" w:rsidTr="001E2DB9">
        <w:trPr>
          <w:tblCellSpacing w:w="20" w:type="dxa"/>
        </w:trPr>
        <w:tc>
          <w:tcPr>
            <w:tcW w:w="4962" w:type="pct"/>
            <w:gridSpan w:val="3"/>
            <w:shd w:val="clear" w:color="auto" w:fill="CCCCCC"/>
          </w:tcPr>
          <w:p w:rsidR="001E2DB9" w:rsidRPr="00CA742A" w:rsidRDefault="001E2DB9" w:rsidP="00617A6D">
            <w:pPr>
              <w:pStyle w:val="NormalWeb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CA742A">
              <w:rPr>
                <w:rFonts w:ascii="Calibri" w:hAnsi="Calibri" w:cs="Arial"/>
                <w:b/>
                <w:sz w:val="20"/>
                <w:szCs w:val="20"/>
              </w:rPr>
              <w:t>Details</w:t>
            </w:r>
          </w:p>
        </w:tc>
      </w:tr>
      <w:tr w:rsidR="001E2DB9" w:rsidRPr="00CA742A" w:rsidTr="00960441">
        <w:trPr>
          <w:trHeight w:val="270"/>
          <w:tblCellSpacing w:w="20" w:type="dxa"/>
        </w:trPr>
        <w:tc>
          <w:tcPr>
            <w:tcW w:w="1521" w:type="pct"/>
            <w:vMerge w:val="restart"/>
            <w:shd w:val="clear" w:color="auto" w:fill="E6E6E6"/>
          </w:tcPr>
          <w:p w:rsidR="001E2DB9" w:rsidRPr="00CA742A" w:rsidRDefault="001E2DB9" w:rsidP="0096044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Details of </w:t>
            </w:r>
            <w:r w:rsidR="00960441">
              <w:rPr>
                <w:rFonts w:ascii="Calibri" w:hAnsi="Calibri" w:cs="Arial"/>
                <w:sz w:val="20"/>
                <w:szCs w:val="20"/>
              </w:rPr>
              <w:t>the person to whom the enforcement action relates</w:t>
            </w:r>
            <w:r>
              <w:rPr>
                <w:rFonts w:ascii="Calibri" w:hAnsi="Calibri" w:cs="Arial"/>
                <w:sz w:val="20"/>
                <w:szCs w:val="20"/>
              </w:rPr>
              <w:br/>
            </w: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Name</w:t>
            </w:r>
          </w:p>
          <w:p w:rsidR="001E2DB9" w:rsidRPr="00CA742A" w:rsidRDefault="001E2DB9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15" w:type="pct"/>
          </w:tcPr>
          <w:p w:rsidR="00C13611" w:rsidRDefault="00490498" w:rsidP="00EE058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Mr </w:t>
            </w:r>
            <w:r w:rsidR="00C13611">
              <w:rPr>
                <w:rFonts w:ascii="Calibri" w:hAnsi="Calibri" w:cs="Arial"/>
                <w:sz w:val="20"/>
                <w:szCs w:val="20"/>
              </w:rPr>
              <w:t>Jaisan Ndamuhawenimana</w:t>
            </w:r>
            <w:r w:rsidR="00821D71">
              <w:rPr>
                <w:rStyle w:val="CommentReference"/>
                <w:rFonts w:ascii="Cambria" w:eastAsia="MS Mincho" w:hAnsi="Cambria"/>
                <w:lang w:eastAsia="ja-JP"/>
              </w:rPr>
              <w:t xml:space="preserve">, </w:t>
            </w:r>
            <w:r>
              <w:rPr>
                <w:rFonts w:ascii="Calibri" w:hAnsi="Calibri" w:cs="Arial"/>
                <w:sz w:val="20"/>
                <w:szCs w:val="20"/>
              </w:rPr>
              <w:t>the Approved P</w:t>
            </w:r>
            <w:r w:rsidR="00C13611">
              <w:rPr>
                <w:rFonts w:ascii="Calibri" w:hAnsi="Calibri" w:cs="Arial"/>
                <w:sz w:val="20"/>
                <w:szCs w:val="20"/>
              </w:rPr>
              <w:t>rovider for the service known as Learning and Uniting Family Day Care Pty Ltd SE-40003424</w:t>
            </w:r>
          </w:p>
          <w:p w:rsidR="00A274C8" w:rsidRPr="00CA742A" w:rsidRDefault="00A274C8" w:rsidP="00EE058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E2DB9" w:rsidRPr="00CA742A" w:rsidTr="004348C8">
        <w:trPr>
          <w:trHeight w:val="269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960441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Service type (If applicable)</w:t>
            </w:r>
            <w:r w:rsidRPr="006F791B"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vanish/>
                <w:color w:val="FF0000"/>
                <w:sz w:val="20"/>
                <w:szCs w:val="20"/>
              </w:rPr>
              <w:br/>
            </w:r>
          </w:p>
        </w:tc>
        <w:tc>
          <w:tcPr>
            <w:tcW w:w="2615" w:type="pct"/>
          </w:tcPr>
          <w:p w:rsidR="001E2DB9" w:rsidRPr="00CA742A" w:rsidRDefault="00C4134B" w:rsidP="00617A6D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Family Day Care Service</w:t>
            </w:r>
          </w:p>
        </w:tc>
      </w:tr>
      <w:tr w:rsidR="001E2DB9" w:rsidRPr="00CA742A" w:rsidTr="004348C8">
        <w:trPr>
          <w:trHeight w:val="842"/>
          <w:tblCellSpacing w:w="20" w:type="dxa"/>
        </w:trPr>
        <w:tc>
          <w:tcPr>
            <w:tcW w:w="1521" w:type="pct"/>
            <w:vMerge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spacing w:before="0" w:after="0"/>
              <w:ind w:right="-1"/>
              <w:rPr>
                <w:rFonts w:ascii="Calibri" w:hAnsi="Calibri" w:cs="Arial"/>
                <w:sz w:val="20"/>
                <w:szCs w:val="20"/>
              </w:rPr>
            </w:pPr>
            <w:r w:rsidRPr="00CA742A">
              <w:rPr>
                <w:rFonts w:ascii="Calibri" w:hAnsi="Calibri" w:cs="Arial"/>
                <w:sz w:val="20"/>
                <w:szCs w:val="20"/>
              </w:rPr>
              <w:t>Address</w:t>
            </w:r>
            <w:r>
              <w:rPr>
                <w:rFonts w:ascii="Calibri" w:hAnsi="Calibri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2615" w:type="pct"/>
          </w:tcPr>
          <w:p w:rsidR="001E2DB9" w:rsidRPr="00CA742A" w:rsidRDefault="00C13611" w:rsidP="00EE058D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Unit 2A 50-56 Kellar Street, Berrinba, Queensland, 4117</w:t>
            </w:r>
          </w:p>
        </w:tc>
      </w:tr>
      <w:tr w:rsidR="00FE37BC" w:rsidRPr="00CA742A" w:rsidTr="004348C8">
        <w:trPr>
          <w:trHeight w:val="577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FE37BC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Nature of Enforcement Action </w:t>
            </w:r>
          </w:p>
        </w:tc>
        <w:tc>
          <w:tcPr>
            <w:tcW w:w="3422" w:type="pct"/>
            <w:gridSpan w:val="2"/>
          </w:tcPr>
          <w:p w:rsidR="00FE37BC" w:rsidRPr="00C4134B" w:rsidRDefault="00C13611" w:rsidP="00C4134B">
            <w:pPr>
              <w:pStyle w:val="NormalWeb"/>
              <w:spacing w:before="0" w:after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Prosecution for offence relating to</w:t>
            </w:r>
            <w:r w:rsidR="00AF1DF3">
              <w:rPr>
                <w:rFonts w:ascii="Calibri" w:hAnsi="Calibri" w:cs="Arial"/>
                <w:sz w:val="20"/>
                <w:szCs w:val="20"/>
              </w:rPr>
              <w:t xml:space="preserve"> providing information or a document which the person knows to be false or misl</w:t>
            </w:r>
            <w:r w:rsidR="00AC61AA">
              <w:rPr>
                <w:rFonts w:ascii="Calibri" w:hAnsi="Calibri" w:cs="Arial"/>
                <w:sz w:val="20"/>
                <w:szCs w:val="20"/>
              </w:rPr>
              <w:t>eading in a material particular, under section 295(1) of the National Law.</w:t>
            </w:r>
          </w:p>
        </w:tc>
      </w:tr>
      <w:tr w:rsidR="00FE37BC" w:rsidRPr="00CA742A" w:rsidTr="004348C8">
        <w:trPr>
          <w:trHeight w:val="1131"/>
          <w:tblCellSpacing w:w="20" w:type="dxa"/>
        </w:trPr>
        <w:tc>
          <w:tcPr>
            <w:tcW w:w="1521" w:type="pct"/>
            <w:shd w:val="clear" w:color="auto" w:fill="E6E6E6"/>
          </w:tcPr>
          <w:p w:rsidR="00FE37BC" w:rsidRPr="00CA742A" w:rsidRDefault="00FE37BC" w:rsidP="00AC61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Reason for </w:t>
            </w:r>
            <w:r w:rsidR="00AC61AA">
              <w:rPr>
                <w:rFonts w:ascii="Calibri" w:hAnsi="Calibri" w:cs="Arial"/>
                <w:sz w:val="20"/>
                <w:szCs w:val="20"/>
              </w:rPr>
              <w:t>Prosecution</w:t>
            </w:r>
          </w:p>
        </w:tc>
        <w:tc>
          <w:tcPr>
            <w:tcW w:w="3422" w:type="pct"/>
            <w:gridSpan w:val="2"/>
          </w:tcPr>
          <w:p w:rsidR="00AF1DF3" w:rsidRPr="00AF1DF3" w:rsidRDefault="00491523" w:rsidP="00C4134B">
            <w:pPr>
              <w:pStyle w:val="NormalWeb"/>
              <w:spacing w:before="0" w:beforeAutospacing="0" w:after="0" w:afterAutospacing="0"/>
              <w:ind w:left="9" w:hanging="9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The A</w:t>
            </w:r>
            <w:r w:rsidR="00AF1DF3">
              <w:rPr>
                <w:rFonts w:asciiTheme="minorHAnsi" w:hAnsiTheme="minorHAnsi" w:cs="Arial"/>
                <w:sz w:val="20"/>
                <w:szCs w:val="20"/>
              </w:rPr>
              <w:t>pproved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P</w:t>
            </w:r>
            <w:r w:rsidR="00AF1DF3" w:rsidRPr="00AF1DF3">
              <w:rPr>
                <w:rFonts w:asciiTheme="minorHAnsi" w:hAnsiTheme="minorHAnsi" w:cs="Arial"/>
                <w:sz w:val="20"/>
                <w:szCs w:val="20"/>
              </w:rPr>
              <w:t>rovider operated a specific family day care service, Learning and Uniting Family Day Care (</w:t>
            </w:r>
            <w:r w:rsidR="00AF1DF3" w:rsidRPr="00AF1DF3">
              <w:rPr>
                <w:rFonts w:asciiTheme="minorHAnsi" w:hAnsiTheme="minorHAnsi" w:cs="Arial"/>
                <w:b/>
                <w:sz w:val="20"/>
                <w:szCs w:val="20"/>
              </w:rPr>
              <w:t>the Service</w:t>
            </w:r>
            <w:r w:rsidR="00AF1DF3" w:rsidRPr="00AF1DF3">
              <w:rPr>
                <w:rFonts w:asciiTheme="minorHAnsi" w:hAnsiTheme="minorHAnsi" w:cs="Arial"/>
                <w:sz w:val="20"/>
                <w:szCs w:val="20"/>
              </w:rPr>
              <w:t>) under Service Approval SE-40003424 (</w:t>
            </w:r>
            <w:r w:rsidR="00AF1DF3" w:rsidRPr="00AF1DF3">
              <w:rPr>
                <w:rFonts w:asciiTheme="minorHAnsi" w:hAnsiTheme="minorHAnsi" w:cs="Arial"/>
                <w:b/>
                <w:sz w:val="20"/>
                <w:szCs w:val="20"/>
              </w:rPr>
              <w:t>the Service Approval</w:t>
            </w:r>
            <w:r w:rsidR="00AF1DF3" w:rsidRPr="00AF1DF3">
              <w:rPr>
                <w:rFonts w:asciiTheme="minorHAnsi" w:hAnsiTheme="minorHAnsi" w:cs="Arial"/>
                <w:sz w:val="20"/>
                <w:szCs w:val="20"/>
              </w:rPr>
              <w:t>), which was subject to the condition that it must not engage or register more than 30 family day care educators with the Service;</w:t>
            </w:r>
          </w:p>
          <w:p w:rsidR="00AF1DF3" w:rsidRPr="00491523" w:rsidRDefault="00491523" w:rsidP="00C4134B">
            <w:pPr>
              <w:pStyle w:val="NormalWeb"/>
              <w:spacing w:before="0" w:beforeAutospacing="0" w:after="0" w:afterAutospacing="0"/>
              <w:ind w:left="9" w:hanging="9"/>
              <w:rPr>
                <w:rFonts w:ascii="Calibri" w:hAnsi="Calibri" w:cs="Arial"/>
                <w:sz w:val="20"/>
                <w:szCs w:val="20"/>
              </w:rPr>
            </w:pPr>
            <w:r w:rsidRPr="00491523">
              <w:rPr>
                <w:rFonts w:ascii="Calibri" w:hAnsi="Calibri" w:cs="Arial"/>
                <w:sz w:val="20"/>
                <w:szCs w:val="20"/>
              </w:rPr>
              <w:t>a)</w:t>
            </w:r>
          </w:p>
          <w:p w:rsidR="00AF1DF3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Approved Provider</w:t>
            </w:r>
            <w:r w:rsidR="00AF1DF3" w:rsidRPr="00AF1DF3">
              <w:rPr>
                <w:rFonts w:ascii="Calibri" w:hAnsi="Calibri" w:cs="Arial"/>
                <w:sz w:val="20"/>
                <w:szCs w:val="20"/>
              </w:rPr>
              <w:t xml:space="preserve"> provided a document to the Regulatory Authority described as “register of family day care educators for Learning and Uniting Family Day Care”</w:t>
            </w:r>
            <w:r>
              <w:rPr>
                <w:rFonts w:ascii="Calibri" w:hAnsi="Calibri" w:cs="Arial"/>
                <w:sz w:val="20"/>
                <w:szCs w:val="20"/>
              </w:rPr>
              <w:t xml:space="preserve"> representing that the S</w:t>
            </w:r>
            <w:r w:rsidR="00AF1DF3" w:rsidRPr="00AF1DF3">
              <w:rPr>
                <w:rFonts w:ascii="Calibri" w:hAnsi="Calibri" w:cs="Arial"/>
                <w:sz w:val="20"/>
                <w:szCs w:val="20"/>
              </w:rPr>
              <w:t>ervice was utilising the services of 30 educators.</w:t>
            </w:r>
          </w:p>
          <w:p w:rsidR="00491523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Service was utilising the services of up to 51 educators and was thus acting in breach of the terms of its Service Approval.</w:t>
            </w:r>
          </w:p>
          <w:p w:rsidR="00491523" w:rsidRPr="00491523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Pr="00491523">
              <w:rPr>
                <w:rFonts w:asciiTheme="minorHAnsi" w:hAnsiTheme="minorHAnsi"/>
                <w:sz w:val="20"/>
                <w:szCs w:val="20"/>
              </w:rPr>
              <w:t xml:space="preserve">rovision of the </w:t>
            </w:r>
            <w:r>
              <w:rPr>
                <w:rFonts w:asciiTheme="minorHAnsi" w:hAnsiTheme="minorHAnsi"/>
                <w:sz w:val="20"/>
                <w:szCs w:val="20"/>
              </w:rPr>
              <w:t>document</w:t>
            </w:r>
            <w:r w:rsidRPr="00491523">
              <w:rPr>
                <w:rFonts w:asciiTheme="minorHAnsi" w:hAnsiTheme="minorHAnsi"/>
                <w:sz w:val="20"/>
                <w:szCs w:val="20"/>
              </w:rPr>
              <w:t xml:space="preserve"> was undertaken in circumstances in which </w:t>
            </w:r>
            <w:r w:rsidR="00B8000B">
              <w:rPr>
                <w:rFonts w:asciiTheme="minorHAnsi" w:hAnsiTheme="minorHAnsi"/>
                <w:sz w:val="20"/>
                <w:szCs w:val="20"/>
              </w:rPr>
              <w:t>the Approved P</w:t>
            </w:r>
            <w:r>
              <w:rPr>
                <w:rFonts w:asciiTheme="minorHAnsi" w:hAnsiTheme="minorHAnsi"/>
                <w:sz w:val="20"/>
                <w:szCs w:val="20"/>
              </w:rPr>
              <w:t>rovider</w:t>
            </w:r>
            <w:r w:rsidRPr="00491523">
              <w:rPr>
                <w:rFonts w:asciiTheme="minorHAnsi" w:hAnsiTheme="minorHAnsi"/>
                <w:sz w:val="20"/>
                <w:szCs w:val="20"/>
              </w:rPr>
              <w:t xml:space="preserve"> knew by virtue of his role exercising management or control of the Service that its contents were false and/or misleading in a material particular in that they misrepresented the actual numbers of educators engaged by the Service in breach of its Se</w:t>
            </w:r>
            <w:r>
              <w:rPr>
                <w:rFonts w:asciiTheme="minorHAnsi" w:hAnsiTheme="minorHAnsi"/>
                <w:sz w:val="20"/>
                <w:szCs w:val="20"/>
              </w:rPr>
              <w:t>rvice Approval.</w:t>
            </w:r>
          </w:p>
          <w:p w:rsidR="00AF1DF3" w:rsidRPr="00491523" w:rsidRDefault="00491523" w:rsidP="00491523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 w:rsidRPr="00491523">
              <w:rPr>
                <w:rFonts w:ascii="Calibri" w:hAnsi="Calibri" w:cs="Arial"/>
                <w:sz w:val="20"/>
                <w:szCs w:val="20"/>
              </w:rPr>
              <w:t>b)</w:t>
            </w:r>
          </w:p>
          <w:p w:rsidR="00AC61AA" w:rsidRDefault="00491523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The Approved Provider, in </w:t>
            </w:r>
            <w:r w:rsidR="00AC61AA">
              <w:rPr>
                <w:rFonts w:ascii="Calibri" w:hAnsi="Calibri" w:cs="Arial"/>
                <w:sz w:val="20"/>
                <w:szCs w:val="20"/>
              </w:rPr>
              <w:t xml:space="preserve">verbal </w:t>
            </w:r>
            <w:r>
              <w:rPr>
                <w:rFonts w:ascii="Calibri" w:hAnsi="Calibri" w:cs="Arial"/>
                <w:sz w:val="20"/>
                <w:szCs w:val="20"/>
              </w:rPr>
              <w:t>response to a request made to him by an Authorised Officer</w:t>
            </w:r>
            <w:r w:rsidR="00AC61AA">
              <w:rPr>
                <w:rFonts w:ascii="Calibri" w:hAnsi="Calibri" w:cs="Arial"/>
                <w:sz w:val="20"/>
                <w:szCs w:val="20"/>
              </w:rPr>
              <w:t xml:space="preserve"> about the number of educators whose services were currently being utilised by the Service, gave meaning and effect that the Service was utilising the services of only 30 educators. </w:t>
            </w:r>
          </w:p>
          <w:p w:rsidR="00491523" w:rsidRDefault="00AC61AA" w:rsidP="00491523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Service was utilising the services of up to 33 educators and was thus in breach of the terms of its Service Approval.</w:t>
            </w:r>
          </w:p>
          <w:p w:rsidR="00C4134B" w:rsidRPr="00CA742A" w:rsidRDefault="00AC61AA" w:rsidP="00AC61AA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ind w:left="467" w:hanging="425"/>
              <w:rPr>
                <w:rFonts w:ascii="Calibri" w:hAnsi="Calibri" w:cs="Arial"/>
                <w:sz w:val="20"/>
                <w:szCs w:val="20"/>
              </w:rPr>
            </w:pPr>
            <w:r w:rsidRPr="00AC61AA">
              <w:rPr>
                <w:rFonts w:asciiTheme="minorHAnsi" w:hAnsiTheme="minorHAnsi"/>
                <w:sz w:val="20"/>
                <w:szCs w:val="20"/>
              </w:rPr>
              <w:t>Provision of the information from the Approved Provider was undertaken in circu</w:t>
            </w:r>
            <w:r w:rsidR="00B8000B">
              <w:rPr>
                <w:rFonts w:asciiTheme="minorHAnsi" w:hAnsiTheme="minorHAnsi"/>
                <w:sz w:val="20"/>
                <w:szCs w:val="20"/>
              </w:rPr>
              <w:t>mstances in which the Approved P</w:t>
            </w:r>
            <w:r w:rsidRPr="00AC61AA">
              <w:rPr>
                <w:rFonts w:asciiTheme="minorHAnsi" w:hAnsiTheme="minorHAnsi"/>
                <w:sz w:val="20"/>
                <w:szCs w:val="20"/>
              </w:rPr>
              <w:t>rovider knew by virtue of his role exercising management or control of the Service that its contents were false and/or misleading in a material particular in that they misrepresented the actual numbers of educators engaged by the Service in breach of its Service Approval.</w:t>
            </w:r>
          </w:p>
        </w:tc>
      </w:tr>
      <w:tr w:rsidR="001E2DB9" w:rsidRPr="00CA742A" w:rsidTr="004348C8">
        <w:trPr>
          <w:trHeight w:val="994"/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AC61AA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 xml:space="preserve">Details of the </w:t>
            </w:r>
            <w:r w:rsidR="00AC61AA">
              <w:rPr>
                <w:rFonts w:ascii="Calibri" w:hAnsi="Calibri" w:cs="Arial"/>
                <w:sz w:val="20"/>
                <w:szCs w:val="20"/>
              </w:rPr>
              <w:t>Prosecution</w:t>
            </w:r>
          </w:p>
        </w:tc>
        <w:tc>
          <w:tcPr>
            <w:tcW w:w="3422" w:type="pct"/>
            <w:gridSpan w:val="2"/>
            <w:shd w:val="clear" w:color="auto" w:fill="FFFFFF"/>
          </w:tcPr>
          <w:p w:rsidR="00B8000B" w:rsidRDefault="00AC61AA" w:rsidP="00490498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 w:rsidRPr="00AC61AA">
              <w:rPr>
                <w:rFonts w:ascii="Calibri" w:hAnsi="Calibri" w:cs="Arial"/>
                <w:sz w:val="20"/>
                <w:szCs w:val="20"/>
              </w:rPr>
              <w:t xml:space="preserve">The Approved Provider entered a plea of </w:t>
            </w:r>
            <w:r w:rsidR="00490498">
              <w:rPr>
                <w:rFonts w:ascii="Calibri" w:hAnsi="Calibri" w:cs="Arial"/>
                <w:sz w:val="20"/>
                <w:szCs w:val="20"/>
              </w:rPr>
              <w:t xml:space="preserve">guilty to two charges of providing false </w:t>
            </w:r>
          </w:p>
          <w:p w:rsidR="00C4134B" w:rsidRDefault="00B8000B" w:rsidP="00490498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and/</w:t>
            </w:r>
            <w:r w:rsidR="00490498">
              <w:rPr>
                <w:rFonts w:ascii="Calibri" w:hAnsi="Calibri" w:cs="Arial"/>
                <w:sz w:val="20"/>
                <w:szCs w:val="20"/>
              </w:rPr>
              <w:t>or misleading information or document.</w:t>
            </w:r>
          </w:p>
          <w:p w:rsidR="00490498" w:rsidRPr="00AC61AA" w:rsidRDefault="00490498" w:rsidP="00490498">
            <w:pPr>
              <w:pStyle w:val="NormalWeb"/>
              <w:spacing w:before="0" w:beforeAutospacing="0" w:after="0" w:afterAutospacing="0"/>
              <w:ind w:right="10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 fine of $2,500 was imposed at Beenleigh Magistrates Court. No conviction was recorded.</w:t>
            </w:r>
          </w:p>
        </w:tc>
      </w:tr>
      <w:tr w:rsidR="001E2DB9" w:rsidRPr="00CA742A" w:rsidTr="004348C8">
        <w:trPr>
          <w:tblCellSpacing w:w="20" w:type="dxa"/>
        </w:trPr>
        <w:tc>
          <w:tcPr>
            <w:tcW w:w="1521" w:type="pct"/>
            <w:shd w:val="clear" w:color="auto" w:fill="E6E6E6"/>
          </w:tcPr>
          <w:p w:rsidR="001E2DB9" w:rsidRPr="00CA742A" w:rsidRDefault="001E2DB9" w:rsidP="00617A6D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Notes</w:t>
            </w:r>
          </w:p>
        </w:tc>
        <w:tc>
          <w:tcPr>
            <w:tcW w:w="3422" w:type="pct"/>
            <w:gridSpan w:val="2"/>
          </w:tcPr>
          <w:p w:rsidR="001E2DB9" w:rsidRPr="00CA742A" w:rsidRDefault="00490498" w:rsidP="00490498">
            <w:pPr>
              <w:pStyle w:val="NormalWeb"/>
              <w:spacing w:before="0" w:beforeAutospacing="0" w:after="0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The Approved Provider was ordered to pay $1,000 professional costs.</w:t>
            </w:r>
          </w:p>
        </w:tc>
      </w:tr>
    </w:tbl>
    <w:p w:rsidR="00261DDA" w:rsidRDefault="002110A7" w:rsidP="002D76BC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ge">
                  <wp:posOffset>1080135</wp:posOffset>
                </wp:positionV>
                <wp:extent cx="3848100" cy="482600"/>
                <wp:effectExtent l="0" t="3810" r="254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8100" cy="48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7A6D" w:rsidRPr="002265AA" w:rsidRDefault="00617A6D" w:rsidP="002265AA">
                            <w:pPr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 xml:space="preserve">Early Childhood </w:t>
                            </w:r>
                            <w:r w:rsidR="00960441"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and Community Engagement</w:t>
                            </w:r>
                            <w:r w:rsidRPr="002265AA">
                              <w:rPr>
                                <w:rFonts w:ascii="Arial" w:hAnsi="Arial" w:cs="Arial"/>
                                <w:b/>
                                <w:color w:val="FFFFFF"/>
                                <w:sz w:val="32"/>
                                <w:szCs w:val="32"/>
                              </w:rPr>
                              <w:br/>
                            </w:r>
                            <w:r w:rsidRPr="00960441">
                              <w:rPr>
                                <w:rFonts w:ascii="Arial" w:hAnsi="Arial" w:cs="Arial"/>
                                <w:b/>
                                <w:color w:val="FFFFFF"/>
                                <w:szCs w:val="24"/>
                              </w:rPr>
                              <w:t>Enforcement Action</w:t>
                            </w:r>
                          </w:p>
                          <w:p w:rsidR="00617A6D" w:rsidRPr="002265AA" w:rsidRDefault="00617A6D" w:rsidP="00F47A01">
                            <w:pPr>
                              <w:rPr>
                                <w:rFonts w:ascii="Arial" w:hAnsi="Arial"/>
                                <w:color w:val="FFFFFF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.55pt;margin-top:85.05pt;width:303pt;height:3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+CqgIAAKk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" filled="f" stroked="f">
                <v:textbox inset="0,0,0,0">
                  <w:txbxContent>
                    <w:p w:rsidR="00617A6D" w:rsidRPr="002265AA" w:rsidRDefault="00617A6D" w:rsidP="002265AA">
                      <w:pPr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 xml:space="preserve">Early Childhood </w:t>
                      </w:r>
                      <w:r w:rsidR="00960441"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and Community Engagement</w:t>
                      </w:r>
                      <w:r w:rsidRPr="002265AA">
                        <w:rPr>
                          <w:rFonts w:ascii="Arial" w:hAnsi="Arial" w:cs="Arial"/>
                          <w:b/>
                          <w:color w:val="FFFFFF"/>
                          <w:sz w:val="32"/>
                          <w:szCs w:val="32"/>
                        </w:rPr>
                        <w:br/>
                      </w:r>
                      <w:r w:rsidRPr="00960441">
                        <w:rPr>
                          <w:rFonts w:ascii="Arial" w:hAnsi="Arial" w:cs="Arial"/>
                          <w:b/>
                          <w:color w:val="FFFFFF"/>
                          <w:szCs w:val="24"/>
                        </w:rPr>
                        <w:t>Enforcement Action</w:t>
                      </w:r>
                    </w:p>
                    <w:p w:rsidR="00617A6D" w:rsidRPr="002265AA" w:rsidRDefault="00617A6D" w:rsidP="00F47A01">
                      <w:pPr>
                        <w:rPr>
                          <w:rFonts w:ascii="Arial" w:hAnsi="Arial"/>
                          <w:color w:val="FFFFFF"/>
                          <w:sz w:val="44"/>
                          <w:szCs w:val="4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P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Default="00261DDA" w:rsidP="00261DDA">
      <w:pPr>
        <w:rPr>
          <w:rFonts w:ascii="Arial" w:hAnsi="Arial"/>
          <w:sz w:val="22"/>
          <w:szCs w:val="22"/>
        </w:rPr>
      </w:pPr>
    </w:p>
    <w:p w:rsidR="00261DDA" w:rsidRDefault="00261DDA" w:rsidP="00261DDA">
      <w:pPr>
        <w:rPr>
          <w:rFonts w:ascii="Arial" w:hAnsi="Arial"/>
          <w:sz w:val="22"/>
          <w:szCs w:val="22"/>
        </w:rPr>
      </w:pPr>
    </w:p>
    <w:sectPr w:rsidR="00261DDA" w:rsidSect="0054503F">
      <w:headerReference w:type="first" r:id="rId12"/>
      <w:footerReference w:type="first" r:id="rId13"/>
      <w:pgSz w:w="11900" w:h="16840"/>
      <w:pgMar w:top="3260" w:right="845" w:bottom="1843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2C3" w:rsidRDefault="00FB12C3" w:rsidP="002D76BC">
      <w:r>
        <w:separator/>
      </w:r>
    </w:p>
  </w:endnote>
  <w:endnote w:type="continuationSeparator" w:id="0">
    <w:p w:rsidR="00FB12C3" w:rsidRDefault="00FB12C3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A6D" w:rsidRDefault="002110A7">
    <w:pPr>
      <w:pStyle w:val="Footer"/>
    </w:pPr>
    <w:r>
      <w:rPr>
        <w:noProof/>
        <w:lang w:eastAsia="zh-CN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-667385</wp:posOffset>
          </wp:positionV>
          <wp:extent cx="7560310" cy="1296035"/>
          <wp:effectExtent l="0" t="0" r="2540" b="0"/>
          <wp:wrapNone/>
          <wp:docPr id="13" name="Picture 13" descr="give a flying-base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ive a flying-base-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2C3" w:rsidRDefault="00FB12C3" w:rsidP="002D76BC">
      <w:r>
        <w:separator/>
      </w:r>
    </w:p>
  </w:footnote>
  <w:footnote w:type="continuationSeparator" w:id="0">
    <w:p w:rsidR="00FB12C3" w:rsidRDefault="00FB12C3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4EA" w:rsidRDefault="00E644EA" w:rsidP="00E644EA">
    <w:pPr>
      <w:pStyle w:val="Defaul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7A2F1" wp14:editId="40F2B691">
          <wp:simplePos x="0" y="0"/>
          <wp:positionH relativeFrom="column">
            <wp:posOffset>-533400</wp:posOffset>
          </wp:positionH>
          <wp:positionV relativeFrom="paragraph">
            <wp:posOffset>-452120</wp:posOffset>
          </wp:positionV>
          <wp:extent cx="7559040" cy="1950720"/>
          <wp:effectExtent l="0" t="0" r="3810" b="0"/>
          <wp:wrapNone/>
          <wp:docPr id="14" name="Picture 14" descr="A4 DET portrait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A4 DET portrait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950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44EA" w:rsidRDefault="00E644EA" w:rsidP="00E644EA">
    <w:pPr>
      <w:pStyle w:val="Header"/>
    </w:pPr>
    <w:r>
      <w:t xml:space="preserve"> </w:t>
    </w:r>
  </w:p>
  <w:p w:rsidR="00E644EA" w:rsidRDefault="00E644EA" w:rsidP="00E644EA">
    <w:pPr>
      <w:pStyle w:val="Header"/>
    </w:pPr>
  </w:p>
  <w:p w:rsidR="00E644EA" w:rsidRPr="00E644EA" w:rsidRDefault="00E644EA" w:rsidP="00E644EA">
    <w:pPr>
      <w:pStyle w:val="Header"/>
      <w:rPr>
        <w:rFonts w:ascii="Arial" w:hAnsi="Arial" w:cs="Arial"/>
        <w:b/>
        <w:bCs/>
        <w:color w:val="FFFFFF" w:themeColor="background1"/>
        <w:sz w:val="23"/>
        <w:szCs w:val="23"/>
      </w:rPr>
    </w:pPr>
    <w:r w:rsidRPr="00E644EA">
      <w:rPr>
        <w:rFonts w:ascii="Arial" w:hAnsi="Arial" w:cs="Arial"/>
        <w:b/>
        <w:bCs/>
        <w:color w:val="FFFFFF" w:themeColor="background1"/>
        <w:sz w:val="23"/>
        <w:szCs w:val="23"/>
      </w:rPr>
      <w:t xml:space="preserve">Early Childhood and Community Engagement </w:t>
    </w:r>
  </w:p>
  <w:p w:rsidR="00617A6D" w:rsidRPr="00E644EA" w:rsidRDefault="00E644EA" w:rsidP="00E644EA">
    <w:pPr>
      <w:pStyle w:val="Header"/>
      <w:rPr>
        <w:rFonts w:ascii="Arial" w:hAnsi="Arial" w:cs="Arial"/>
        <w:color w:val="FFFFFF" w:themeColor="background1"/>
      </w:rPr>
    </w:pPr>
    <w:r w:rsidRPr="00E644EA">
      <w:rPr>
        <w:rFonts w:ascii="Arial" w:hAnsi="Arial" w:cs="Arial"/>
        <w:b/>
        <w:bCs/>
        <w:color w:val="FFFFFF" w:themeColor="background1"/>
        <w:sz w:val="23"/>
        <w:szCs w:val="23"/>
      </w:rPr>
      <w:t>Enforcement Action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71C"/>
    <w:multiLevelType w:val="hybridMultilevel"/>
    <w:tmpl w:val="872049E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945D27"/>
    <w:multiLevelType w:val="hybridMultilevel"/>
    <w:tmpl w:val="C59C93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5E855C6"/>
    <w:multiLevelType w:val="hybridMultilevel"/>
    <w:tmpl w:val="8F321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934DD6"/>
    <w:multiLevelType w:val="hybridMultilevel"/>
    <w:tmpl w:val="AA8063F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31578"/>
    <w:multiLevelType w:val="hybridMultilevel"/>
    <w:tmpl w:val="3CCE395C"/>
    <w:lvl w:ilvl="0" w:tplc="CB0E9794">
      <w:start w:val="1"/>
      <w:numFmt w:val="decimal"/>
      <w:lvlText w:val="%1)"/>
      <w:lvlJc w:val="left"/>
      <w:pPr>
        <w:ind w:left="360" w:hanging="360"/>
      </w:pPr>
      <w:rPr>
        <w:rFonts w:ascii="Calibri" w:eastAsia="SimSun" w:hAnsi="Calibri" w:cs="Ari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6B55CF"/>
    <w:multiLevelType w:val="hybridMultilevel"/>
    <w:tmpl w:val="4F14426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8528D3"/>
    <w:multiLevelType w:val="hybridMultilevel"/>
    <w:tmpl w:val="5E78B0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A7079"/>
    <w:multiLevelType w:val="hybridMultilevel"/>
    <w:tmpl w:val="58A4F2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CB14676"/>
    <w:multiLevelType w:val="hybridMultilevel"/>
    <w:tmpl w:val="D7A212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8D583D"/>
    <w:multiLevelType w:val="hybridMultilevel"/>
    <w:tmpl w:val="4290DEF4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E2EECEE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BC"/>
    <w:rsid w:val="0005238B"/>
    <w:rsid w:val="000A46D5"/>
    <w:rsid w:val="000A7F86"/>
    <w:rsid w:val="000C0D29"/>
    <w:rsid w:val="00182115"/>
    <w:rsid w:val="00187B48"/>
    <w:rsid w:val="001C13D8"/>
    <w:rsid w:val="001C666C"/>
    <w:rsid w:val="001D4617"/>
    <w:rsid w:val="001E2DB9"/>
    <w:rsid w:val="002110A7"/>
    <w:rsid w:val="00221AC2"/>
    <w:rsid w:val="002265AA"/>
    <w:rsid w:val="00226976"/>
    <w:rsid w:val="00261DDA"/>
    <w:rsid w:val="002B5E08"/>
    <w:rsid w:val="002D0E1A"/>
    <w:rsid w:val="002D67C7"/>
    <w:rsid w:val="002D76BC"/>
    <w:rsid w:val="00340582"/>
    <w:rsid w:val="00386DE3"/>
    <w:rsid w:val="00387676"/>
    <w:rsid w:val="003D3100"/>
    <w:rsid w:val="003E4110"/>
    <w:rsid w:val="003F6DEC"/>
    <w:rsid w:val="003F6F6D"/>
    <w:rsid w:val="004348C8"/>
    <w:rsid w:val="00447C37"/>
    <w:rsid w:val="00490498"/>
    <w:rsid w:val="00491523"/>
    <w:rsid w:val="004E2FB4"/>
    <w:rsid w:val="00532573"/>
    <w:rsid w:val="005352A5"/>
    <w:rsid w:val="00544339"/>
    <w:rsid w:val="0054503F"/>
    <w:rsid w:val="00571F80"/>
    <w:rsid w:val="005B10B4"/>
    <w:rsid w:val="005C1726"/>
    <w:rsid w:val="00617A6D"/>
    <w:rsid w:val="00661135"/>
    <w:rsid w:val="00662769"/>
    <w:rsid w:val="0067795D"/>
    <w:rsid w:val="00696542"/>
    <w:rsid w:val="00730EDE"/>
    <w:rsid w:val="0075341D"/>
    <w:rsid w:val="00793412"/>
    <w:rsid w:val="007B15B0"/>
    <w:rsid w:val="00821D71"/>
    <w:rsid w:val="00863720"/>
    <w:rsid w:val="008B5135"/>
    <w:rsid w:val="008D5093"/>
    <w:rsid w:val="00921E20"/>
    <w:rsid w:val="00947719"/>
    <w:rsid w:val="00960441"/>
    <w:rsid w:val="0097238E"/>
    <w:rsid w:val="00990F9D"/>
    <w:rsid w:val="009A7459"/>
    <w:rsid w:val="009F2FC2"/>
    <w:rsid w:val="009F656F"/>
    <w:rsid w:val="00A274C8"/>
    <w:rsid w:val="00A9775C"/>
    <w:rsid w:val="00AA2397"/>
    <w:rsid w:val="00AC61AA"/>
    <w:rsid w:val="00AF1DF3"/>
    <w:rsid w:val="00B43C96"/>
    <w:rsid w:val="00B472F6"/>
    <w:rsid w:val="00B8000B"/>
    <w:rsid w:val="00B81C1B"/>
    <w:rsid w:val="00BF4BAB"/>
    <w:rsid w:val="00BF6087"/>
    <w:rsid w:val="00C13611"/>
    <w:rsid w:val="00C17FDF"/>
    <w:rsid w:val="00C40B27"/>
    <w:rsid w:val="00C4134B"/>
    <w:rsid w:val="00C543DF"/>
    <w:rsid w:val="00C6059F"/>
    <w:rsid w:val="00CA7505"/>
    <w:rsid w:val="00CB1E8F"/>
    <w:rsid w:val="00CC243E"/>
    <w:rsid w:val="00CC34EA"/>
    <w:rsid w:val="00D32309"/>
    <w:rsid w:val="00D37041"/>
    <w:rsid w:val="00DF371E"/>
    <w:rsid w:val="00E644EA"/>
    <w:rsid w:val="00E97671"/>
    <w:rsid w:val="00EC24E1"/>
    <w:rsid w:val="00EE058D"/>
    <w:rsid w:val="00EF366B"/>
    <w:rsid w:val="00F47A01"/>
    <w:rsid w:val="00F90FD4"/>
    <w:rsid w:val="00F9640F"/>
    <w:rsid w:val="00FB12C3"/>
    <w:rsid w:val="00FE37B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E644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paragraph" w:styleId="NormalWeb">
    <w:name w:val="Normal (Web)"/>
    <w:basedOn w:val="Normal"/>
    <w:uiPriority w:val="99"/>
    <w:rsid w:val="002265AA"/>
    <w:pPr>
      <w:spacing w:before="100" w:beforeAutospacing="1" w:after="100" w:afterAutospacing="1"/>
    </w:pPr>
    <w:rPr>
      <w:rFonts w:ascii="Times New Roman" w:eastAsia="SimSun" w:hAnsi="Times New Roman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74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274C8"/>
    <w:rPr>
      <w:rFonts w:ascii="Tahoma" w:hAnsi="Tahoma" w:cs="Tahoma"/>
      <w:sz w:val="16"/>
      <w:szCs w:val="16"/>
      <w:lang w:eastAsia="ja-JP"/>
    </w:rPr>
  </w:style>
  <w:style w:type="character" w:styleId="CommentReference">
    <w:name w:val="annotation reference"/>
    <w:uiPriority w:val="99"/>
    <w:semiHidden/>
    <w:unhideWhenUsed/>
    <w:rsid w:val="007B15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15B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B15B0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15B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B15B0"/>
    <w:rPr>
      <w:b/>
      <w:bCs/>
      <w:lang w:eastAsia="ja-JP"/>
    </w:rPr>
  </w:style>
  <w:style w:type="paragraph" w:customStyle="1" w:styleId="Default">
    <w:name w:val="Default"/>
    <w:rsid w:val="00E644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2023-08-10T23:07:05+00:00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2023-08-10T23:07:05+00:00</PPLastReviewedDate>
    <PPSubmittedDate xmlns="687c0ba5-25f6-467d-a8e9-4285ca7a69ae">2023-08-10T23:06:53+00:00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E0A59F-F70E-4D0A-8EA3-F4AFF5BB835D}"/>
</file>

<file path=customXml/itemProps2.xml><?xml version="1.0" encoding="utf-8"?>
<ds:datastoreItem xmlns:ds="http://schemas.openxmlformats.org/officeDocument/2006/customXml" ds:itemID="{242BE226-2C8C-42A4-A844-F94B9B6E935F}"/>
</file>

<file path=customXml/itemProps3.xml><?xml version="1.0" encoding="utf-8"?>
<ds:datastoreItem xmlns:ds="http://schemas.openxmlformats.org/officeDocument/2006/customXml" ds:itemID="{B8C445F5-3FE9-49D2-A4CE-2B18AE8BC98C}"/>
</file>

<file path=customXml/itemProps4.xml><?xml version="1.0" encoding="utf-8"?>
<ds:datastoreItem xmlns:ds="http://schemas.openxmlformats.org/officeDocument/2006/customXml" ds:itemID="{704218E7-F3DA-4518-8E3F-054129A4AE03}"/>
</file>

<file path=docProps/app.xml><?xml version="1.0" encoding="utf-8"?>
<Properties xmlns="http://schemas.openxmlformats.org/officeDocument/2006/extended-properties" xmlns:vt="http://schemas.openxmlformats.org/officeDocument/2006/docPropsVTypes">
  <Template>9D2CACDD.dotm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ECEC Header Template - Portrait</vt:lpstr>
    </vt:vector>
  </TitlesOfParts>
  <Company>DETA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Jaisan Ndamuhawenimana</dc:title>
  <dc:creator>Patrick Falzon</dc:creator>
  <cp:keywords>OECEC; ECEC; ECEC template portrait;</cp:keywords>
  <cp:lastModifiedBy>SCHOFIELD, Helen</cp:lastModifiedBy>
  <cp:revision>2</cp:revision>
  <cp:lastPrinted>2017-06-05T00:04:00Z</cp:lastPrinted>
  <dcterms:created xsi:type="dcterms:W3CDTF">2018-01-22T00:35:00Z</dcterms:created>
  <dcterms:modified xsi:type="dcterms:W3CDTF">2018-01-22T00:35:00Z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0x01010056F4BE8F62DA3E42B4443134EBEFCDA6</vt:lpwstr>
  </property>
</Properties>
</file>