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3D3" w:rsidRPr="002F64B2" w:rsidRDefault="00A743D3" w:rsidP="00415176">
      <w:pPr>
        <w:pStyle w:val="Heading1"/>
        <w:spacing w:before="120" w:line="240" w:lineRule="auto"/>
        <w:contextualSpacing/>
        <w:rPr>
          <w:rFonts w:asciiTheme="minorHAnsi" w:hAnsiTheme="minorHAnsi" w:cstheme="minorHAnsi"/>
          <w:b/>
          <w:sz w:val="32"/>
          <w:szCs w:val="32"/>
          <w:lang w:eastAsia="zh-CN"/>
        </w:rPr>
      </w:pPr>
      <w:r w:rsidRPr="002F64B2">
        <w:rPr>
          <w:rFonts w:asciiTheme="minorHAnsi" w:hAnsiTheme="minorHAnsi" w:cstheme="minorHAnsi"/>
          <w:b/>
          <w:sz w:val="32"/>
          <w:szCs w:val="32"/>
          <w:lang w:eastAsia="zh-CN"/>
        </w:rPr>
        <w:t>Event-based approach</w:t>
      </w:r>
    </w:p>
    <w:p w:rsidR="00404BCA" w:rsidRPr="002F64B2" w:rsidRDefault="002F64B2" w:rsidP="00415176">
      <w:pPr>
        <w:spacing w:before="120" w:line="240" w:lineRule="auto"/>
        <w:contextualSpacing/>
        <w:rPr>
          <w:rFonts w:asciiTheme="minorHAnsi" w:hAnsiTheme="minorHAnsi" w:cstheme="minorHAnsi"/>
        </w:rPr>
      </w:pPr>
      <w:r w:rsidRPr="002F64B2">
        <w:rPr>
          <w:rFonts w:asciiTheme="minorHAnsi" w:hAnsiTheme="minorHAnsi" w:cstheme="minorHAnsi"/>
        </w:rPr>
        <w:t>Children’s ideas and decision-making are central to an event-based approach. They are encouraged to plan and enact events in real-life contexts drawing on their experiences. An event-based approach may include investigations, problem-solving and play. It provides a context for learning that is sustained for the short- or long-term and provides opportunities for children to connect knowledge and practice. They draw on knowledge and experiences that are socially and culturally significant from home and the community when planning and enacting events. This approach has been identified as having positive impacts on literacy and numeracy learning. If utilised effectively, possible characteristics may include: active, agentic, collaborative, creative, explicit, language-rich and dialogic, learner-focused, narrative and playful.</w:t>
      </w:r>
    </w:p>
    <w:p w:rsidR="00A743D3" w:rsidRDefault="00A743D3" w:rsidP="00415176">
      <w:pPr>
        <w:spacing w:before="120" w:line="240" w:lineRule="auto"/>
        <w:contextualSpacing/>
        <w:rPr>
          <w:rFonts w:ascii="Calibri" w:eastAsia="MS Mincho" w:hAnsi="Calibri" w:cs="Arial"/>
          <w:color w:val="000000"/>
          <w:szCs w:val="20"/>
          <w:lang w:val="en-GB"/>
        </w:rPr>
      </w:pPr>
    </w:p>
    <w:p w:rsidR="00A743D3" w:rsidRPr="00A743D3" w:rsidRDefault="00A743D3" w:rsidP="00415176">
      <w:pPr>
        <w:spacing w:before="120" w:line="240" w:lineRule="auto"/>
        <w:contextualSpacing/>
        <w:rPr>
          <w:rFonts w:ascii="Calibri" w:eastAsia="MS PGothic" w:hAnsi="Calibri" w:cs="+mn-cs"/>
          <w:b/>
          <w:bCs/>
          <w:color w:val="548DD4"/>
          <w:kern w:val="24"/>
          <w:szCs w:val="22"/>
          <w:lang w:eastAsia="zh-CN"/>
        </w:rPr>
      </w:pPr>
      <w:r w:rsidRPr="00A743D3">
        <w:rPr>
          <w:rFonts w:ascii="Calibri" w:eastAsia="MS Mincho" w:hAnsi="Calibri" w:cs="Arial"/>
          <w:color w:val="000000"/>
          <w:szCs w:val="20"/>
          <w:lang w:val="en-GB"/>
        </w:rPr>
        <w:t>The benefits of an event-based approach are that young learners are directly involved in making decisions about the focus and processes of an investigation, discussing, planning and implementing ways to solve real-life problems, and engaging in a range of play types with partners. Event-based learning is underscored by a social climate in which young lea</w:t>
      </w:r>
      <w:r w:rsidRPr="00A743D3">
        <w:rPr>
          <w:rFonts w:ascii="Calibri" w:eastAsia="MS Mincho" w:hAnsi="Calibri" w:cs="Arial"/>
          <w:szCs w:val="20"/>
          <w:lang w:val="en-GB"/>
        </w:rPr>
        <w:t>rners are considered competent, capable and</w:t>
      </w:r>
      <w:r w:rsidRPr="00A743D3">
        <w:rPr>
          <w:rFonts w:ascii="Calibri" w:eastAsia="MS PGothic" w:hAnsi="Calibri" w:cs="+mn-cs"/>
          <w:bCs/>
          <w:kern w:val="24"/>
          <w:sz w:val="24"/>
          <w:lang w:eastAsia="zh-CN"/>
        </w:rPr>
        <w:t xml:space="preserve"> </w:t>
      </w:r>
      <w:r w:rsidRPr="00A743D3">
        <w:rPr>
          <w:rFonts w:ascii="Calibri" w:eastAsia="MS PGothic" w:hAnsi="Calibri" w:cs="+mn-cs"/>
          <w:bCs/>
          <w:kern w:val="24"/>
          <w:szCs w:val="22"/>
          <w:lang w:eastAsia="zh-CN"/>
        </w:rPr>
        <w:t>agentic participants in classroom decision-making.</w:t>
      </w:r>
    </w:p>
    <w:p w:rsidR="00A743D3" w:rsidRPr="002F64B2" w:rsidRDefault="00A743D3" w:rsidP="00415176">
      <w:pPr>
        <w:pStyle w:val="Heading2"/>
        <w:spacing w:before="120" w:line="240" w:lineRule="auto"/>
        <w:contextualSpacing/>
        <w:rPr>
          <w:rFonts w:asciiTheme="minorHAnsi" w:hAnsiTheme="minorHAnsi" w:cstheme="minorHAnsi"/>
          <w:b/>
          <w:sz w:val="28"/>
          <w:szCs w:val="28"/>
          <w:lang w:eastAsia="zh-CN"/>
        </w:rPr>
      </w:pPr>
      <w:r w:rsidRPr="002F64B2">
        <w:rPr>
          <w:rFonts w:asciiTheme="minorHAnsi" w:hAnsiTheme="minorHAnsi" w:cstheme="minorHAnsi"/>
          <w:b/>
          <w:sz w:val="28"/>
          <w:szCs w:val="28"/>
          <w:lang w:eastAsia="zh-CN"/>
        </w:rPr>
        <w:t>Teacher decision-making</w:t>
      </w:r>
    </w:p>
    <w:p w:rsidR="00A743D3" w:rsidRPr="00A743D3" w:rsidRDefault="00A743D3" w:rsidP="00415176">
      <w:pPr>
        <w:spacing w:before="120" w:line="240" w:lineRule="auto"/>
        <w:contextualSpacing/>
        <w:rPr>
          <w:rFonts w:ascii="Calibri" w:eastAsia="MS PGothic" w:hAnsi="Calibri" w:cs="+mn-cs"/>
          <w:bCs/>
          <w:kern w:val="24"/>
          <w:szCs w:val="22"/>
          <w:lang w:eastAsia="zh-CN"/>
        </w:rPr>
      </w:pPr>
      <w:r w:rsidRPr="00A743D3">
        <w:rPr>
          <w:rFonts w:ascii="Calibri" w:eastAsia="MS PGothic" w:hAnsi="Calibri" w:cs="+mn-cs"/>
          <w:bCs/>
          <w:kern w:val="24"/>
          <w:szCs w:val="22"/>
          <w:lang w:eastAsia="zh-CN"/>
        </w:rPr>
        <w:t>When planning for event-based learning teachers decisions are informed by:</w:t>
      </w:r>
    </w:p>
    <w:p w:rsidR="00A743D3" w:rsidRPr="002F64B2" w:rsidRDefault="00A743D3" w:rsidP="00415176">
      <w:pPr>
        <w:pStyle w:val="ListParagraph"/>
        <w:spacing w:before="120" w:line="240" w:lineRule="auto"/>
        <w:contextualSpacing/>
        <w:rPr>
          <w:rFonts w:asciiTheme="minorHAnsi" w:hAnsiTheme="minorHAnsi" w:cstheme="minorHAnsi"/>
          <w:lang w:eastAsia="zh-CN"/>
        </w:rPr>
      </w:pPr>
      <w:r w:rsidRPr="002F64B2">
        <w:rPr>
          <w:rFonts w:asciiTheme="minorHAnsi" w:hAnsiTheme="minorHAnsi" w:cstheme="minorHAnsi"/>
          <w:lang w:eastAsia="zh-CN"/>
        </w:rPr>
        <w:t>young learner’s interests and capabilities and dispositions to learning</w:t>
      </w:r>
    </w:p>
    <w:p w:rsidR="00A743D3" w:rsidRPr="002F64B2" w:rsidRDefault="00A743D3" w:rsidP="00415176">
      <w:pPr>
        <w:pStyle w:val="ListParagraph"/>
        <w:spacing w:before="120" w:line="240" w:lineRule="auto"/>
        <w:contextualSpacing/>
        <w:rPr>
          <w:rFonts w:asciiTheme="minorHAnsi" w:hAnsiTheme="minorHAnsi" w:cstheme="minorHAnsi"/>
          <w:lang w:eastAsia="zh-CN"/>
        </w:rPr>
      </w:pPr>
      <w:r w:rsidRPr="002F64B2">
        <w:rPr>
          <w:rFonts w:asciiTheme="minorHAnsi" w:hAnsiTheme="minorHAnsi" w:cstheme="minorHAnsi"/>
          <w:lang w:eastAsia="zh-CN"/>
        </w:rPr>
        <w:t>their own interests, skills, capabilities and philosophies</w:t>
      </w:r>
    </w:p>
    <w:p w:rsidR="00A743D3" w:rsidRPr="002F64B2" w:rsidRDefault="00A743D3" w:rsidP="00415176">
      <w:pPr>
        <w:pStyle w:val="ListParagraph"/>
        <w:spacing w:before="120" w:line="240" w:lineRule="auto"/>
        <w:contextualSpacing/>
        <w:rPr>
          <w:rFonts w:asciiTheme="minorHAnsi" w:hAnsiTheme="minorHAnsi" w:cstheme="minorHAnsi"/>
          <w:lang w:eastAsia="zh-CN"/>
        </w:rPr>
      </w:pPr>
      <w:r w:rsidRPr="002F64B2">
        <w:rPr>
          <w:rFonts w:asciiTheme="minorHAnsi" w:hAnsiTheme="minorHAnsi" w:cstheme="minorHAnsi"/>
          <w:lang w:eastAsia="zh-CN"/>
        </w:rPr>
        <w:t>the Australian Curriculum learning area content</w:t>
      </w:r>
    </w:p>
    <w:p w:rsidR="00A743D3" w:rsidRPr="002F64B2" w:rsidRDefault="00A743D3" w:rsidP="00415176">
      <w:pPr>
        <w:pStyle w:val="ListParagraph"/>
        <w:spacing w:before="120" w:line="240" w:lineRule="auto"/>
        <w:contextualSpacing/>
        <w:rPr>
          <w:rFonts w:asciiTheme="minorHAnsi" w:hAnsiTheme="minorHAnsi" w:cstheme="minorHAnsi"/>
          <w:lang w:eastAsia="zh-CN"/>
        </w:rPr>
      </w:pPr>
      <w:r w:rsidRPr="002F64B2">
        <w:rPr>
          <w:rFonts w:asciiTheme="minorHAnsi" w:hAnsiTheme="minorHAnsi" w:cstheme="minorHAnsi"/>
          <w:lang w:eastAsia="zh-CN"/>
        </w:rPr>
        <w:t>evidence of learning</w:t>
      </w:r>
    </w:p>
    <w:p w:rsidR="00A743D3" w:rsidRPr="002F64B2" w:rsidRDefault="00A743D3" w:rsidP="00415176">
      <w:pPr>
        <w:pStyle w:val="ListParagraph"/>
        <w:spacing w:before="120" w:line="240" w:lineRule="auto"/>
        <w:contextualSpacing/>
        <w:rPr>
          <w:rFonts w:asciiTheme="minorHAnsi" w:hAnsiTheme="minorHAnsi" w:cstheme="minorHAnsi"/>
          <w:lang w:eastAsia="zh-CN"/>
        </w:rPr>
      </w:pPr>
      <w:proofErr w:type="gramStart"/>
      <w:r w:rsidRPr="002F64B2">
        <w:rPr>
          <w:rFonts w:asciiTheme="minorHAnsi" w:hAnsiTheme="minorHAnsi" w:cstheme="minorHAnsi"/>
          <w:lang w:eastAsia="zh-CN"/>
        </w:rPr>
        <w:t>school</w:t>
      </w:r>
      <w:proofErr w:type="gramEnd"/>
      <w:r w:rsidRPr="002F64B2">
        <w:rPr>
          <w:rFonts w:asciiTheme="minorHAnsi" w:hAnsiTheme="minorHAnsi" w:cstheme="minorHAnsi"/>
          <w:lang w:eastAsia="zh-CN"/>
        </w:rPr>
        <w:t xml:space="preserve"> and community contexts</w:t>
      </w:r>
      <w:r w:rsidR="00622ADD" w:rsidRPr="002F64B2">
        <w:rPr>
          <w:rFonts w:asciiTheme="minorHAnsi" w:hAnsiTheme="minorHAnsi" w:cstheme="minorHAnsi"/>
          <w:lang w:eastAsia="zh-CN"/>
        </w:rPr>
        <w:t>.</w:t>
      </w:r>
    </w:p>
    <w:p w:rsidR="00A743D3" w:rsidRPr="002F64B2" w:rsidRDefault="00A743D3" w:rsidP="00415176">
      <w:pPr>
        <w:pStyle w:val="Heading2"/>
        <w:spacing w:before="120" w:line="240" w:lineRule="auto"/>
        <w:contextualSpacing/>
        <w:rPr>
          <w:rFonts w:asciiTheme="minorHAnsi" w:hAnsiTheme="minorHAnsi" w:cstheme="minorHAnsi"/>
          <w:b/>
          <w:sz w:val="28"/>
          <w:szCs w:val="28"/>
          <w:lang w:eastAsia="zh-CN"/>
        </w:rPr>
      </w:pPr>
      <w:r w:rsidRPr="002F64B2">
        <w:rPr>
          <w:rFonts w:asciiTheme="minorHAnsi" w:hAnsiTheme="minorHAnsi" w:cstheme="minorHAnsi"/>
          <w:b/>
          <w:sz w:val="28"/>
          <w:szCs w:val="28"/>
          <w:lang w:eastAsia="zh-CN"/>
        </w:rPr>
        <w:t>Key drivers of an Event-based approach</w:t>
      </w:r>
    </w:p>
    <w:p w:rsidR="00A743D3" w:rsidRPr="002F64B2" w:rsidRDefault="00A743D3" w:rsidP="00415176">
      <w:pPr>
        <w:spacing w:before="120" w:line="240" w:lineRule="auto"/>
        <w:contextualSpacing/>
        <w:rPr>
          <w:rFonts w:asciiTheme="minorHAnsi" w:hAnsiTheme="minorHAnsi" w:cstheme="minorHAnsi"/>
        </w:rPr>
      </w:pPr>
      <w:r w:rsidRPr="002F64B2">
        <w:rPr>
          <w:rFonts w:asciiTheme="minorHAnsi" w:hAnsiTheme="minorHAnsi" w:cstheme="minorHAnsi"/>
        </w:rPr>
        <w:t xml:space="preserve">The key drivers that underpin an event approach provide a framework for teachers to discuss the benefits of this approach with colleagues and parents. The capacity to articulate why a particular approach is used helps to reassure parents of the potential benefits for their child in terms of short-term and long-term educational outcomes. The key drivers also help to shape teachers’ decisions in ways that support young learners’ holistic development, a critical aspect of contemporary education (see Queensland Department of Education and Training (2015) </w:t>
      </w:r>
      <w:r w:rsidRPr="002F64B2">
        <w:rPr>
          <w:rFonts w:asciiTheme="minorHAnsi" w:hAnsiTheme="minorHAnsi" w:cstheme="minorHAnsi"/>
          <w:i/>
        </w:rPr>
        <w:t>Age-appropriate pedagogies for the early years of schooling: Foundation paper</w:t>
      </w:r>
      <w:r w:rsidRPr="002F64B2">
        <w:rPr>
          <w:rFonts w:asciiTheme="minorHAnsi" w:hAnsiTheme="minorHAnsi" w:cstheme="minorHAnsi"/>
        </w:rPr>
        <w:t>). The key drivers of event-based learning share common features with play-based learning and inquiry learning related to the roles young learners play in decision-making. Event based learning is differentiated from other approaches, however, through a planned event that marks the culmination of learning experiences related to a particular topic, interest or unit of work.</w:t>
      </w:r>
    </w:p>
    <w:p w:rsidR="00A743D3" w:rsidRDefault="00A743D3" w:rsidP="00415176">
      <w:pPr>
        <w:spacing w:before="120" w:line="240" w:lineRule="auto"/>
        <w:contextualSpacing/>
      </w:pPr>
    </w:p>
    <w:p w:rsidR="00A743D3" w:rsidRPr="00A743D3" w:rsidRDefault="00A743D3" w:rsidP="00415176">
      <w:pPr>
        <w:tabs>
          <w:tab w:val="left" w:pos="1902"/>
        </w:tabs>
        <w:spacing w:before="120" w:line="240" w:lineRule="auto"/>
        <w:contextualSpacing/>
        <w:rPr>
          <w:rFonts w:ascii="Calibri" w:eastAsia="SimSun" w:hAnsi="Calibri" w:cs="Times New Roman"/>
          <w:szCs w:val="22"/>
          <w:lang w:eastAsia="zh-CN"/>
        </w:rPr>
      </w:pPr>
      <w:r w:rsidRPr="00A743D3">
        <w:rPr>
          <w:rFonts w:ascii="Calibri" w:eastAsia="SimSun" w:hAnsi="Calibri" w:cs="Times New Roman"/>
          <w:b/>
          <w:szCs w:val="22"/>
          <w:lang w:eastAsia="zh-CN"/>
        </w:rPr>
        <w:t>Ownership of learning is shared:</w:t>
      </w:r>
      <w:r w:rsidRPr="00A743D3">
        <w:rPr>
          <w:rFonts w:ascii="Calibri" w:eastAsia="SimSun" w:hAnsi="Calibri" w:cs="Times New Roman"/>
          <w:b/>
          <w:color w:val="548DD4"/>
          <w:sz w:val="24"/>
          <w:lang w:eastAsia="zh-CN"/>
        </w:rPr>
        <w:t xml:space="preserve"> </w:t>
      </w:r>
      <w:r w:rsidRPr="00A743D3">
        <w:rPr>
          <w:rFonts w:ascii="Calibri" w:eastAsia="SimSun" w:hAnsi="Calibri" w:cs="Times New Roman"/>
          <w:szCs w:val="22"/>
          <w:lang w:eastAsia="zh-CN"/>
        </w:rPr>
        <w:t>Learning is an active process. Opportunities for young learners to participate in decision-making and make choices are a central feature of project approach to learning.</w:t>
      </w:r>
    </w:p>
    <w:p w:rsidR="00A743D3" w:rsidRPr="00A743D3" w:rsidRDefault="00A743D3" w:rsidP="00415176">
      <w:pPr>
        <w:tabs>
          <w:tab w:val="left" w:pos="1902"/>
        </w:tabs>
        <w:spacing w:before="120" w:line="240" w:lineRule="auto"/>
        <w:contextualSpacing/>
        <w:rPr>
          <w:rFonts w:ascii="Calibri" w:eastAsia="SimSun" w:hAnsi="Calibri" w:cs="Times New Roman"/>
          <w:szCs w:val="22"/>
          <w:lang w:eastAsia="zh-CN"/>
        </w:rPr>
      </w:pPr>
      <w:r w:rsidRPr="00A743D3">
        <w:rPr>
          <w:rFonts w:ascii="Calibri" w:eastAsia="SimSun" w:hAnsi="Calibri" w:cs="Times New Roman"/>
          <w:b/>
          <w:szCs w:val="22"/>
          <w:lang w:eastAsia="zh-CN"/>
        </w:rPr>
        <w:lastRenderedPageBreak/>
        <w:t>Young learners’ interests are supported:</w:t>
      </w:r>
      <w:r w:rsidRPr="00A743D3">
        <w:rPr>
          <w:rFonts w:ascii="Calibri" w:eastAsia="SimSun" w:hAnsi="Calibri" w:cs="Times New Roman"/>
          <w:b/>
          <w:sz w:val="24"/>
          <w:lang w:eastAsia="zh-CN"/>
        </w:rPr>
        <w:t xml:space="preserve"> </w:t>
      </w:r>
      <w:r w:rsidRPr="00A743D3">
        <w:rPr>
          <w:rFonts w:ascii="Calibri" w:eastAsia="SimSun" w:hAnsi="Calibri" w:cs="Times New Roman"/>
          <w:szCs w:val="22"/>
          <w:lang w:eastAsia="zh-CN"/>
        </w:rPr>
        <w:t>Opportunities are available for young learners to explore individual and group interests within the parameters of Australian Curriculum expectations. Exploring interests and research ideas encourages deeper engagement in learning.</w:t>
      </w:r>
    </w:p>
    <w:p w:rsidR="00A743D3" w:rsidRPr="00A743D3" w:rsidRDefault="00A743D3" w:rsidP="00415176">
      <w:pPr>
        <w:spacing w:before="120" w:line="240" w:lineRule="auto"/>
        <w:contextualSpacing/>
        <w:rPr>
          <w:rFonts w:ascii="Calibri" w:eastAsia="SimSun" w:hAnsi="Calibri" w:cs="Times New Roman"/>
          <w:szCs w:val="22"/>
          <w:lang w:eastAsia="zh-CN"/>
        </w:rPr>
      </w:pPr>
      <w:r w:rsidRPr="00A743D3">
        <w:rPr>
          <w:rFonts w:ascii="Calibri" w:eastAsia="MS PGothic" w:hAnsi="Calibri" w:cs="+mn-cs"/>
          <w:b/>
          <w:bCs/>
          <w:kern w:val="24"/>
          <w:szCs w:val="22"/>
          <w:lang w:eastAsia="zh-CN"/>
        </w:rPr>
        <w:t>Prior knowledge is valued:</w:t>
      </w:r>
      <w:r w:rsidRPr="00A743D3">
        <w:rPr>
          <w:rFonts w:ascii="Calibri" w:eastAsia="MS PGothic" w:hAnsi="Calibri" w:cs="+mn-cs"/>
          <w:bCs/>
          <w:kern w:val="24"/>
          <w:szCs w:val="22"/>
          <w:lang w:eastAsia="zh-CN"/>
        </w:rPr>
        <w:t xml:space="preserve"> </w:t>
      </w:r>
      <w:r w:rsidRPr="00A743D3">
        <w:rPr>
          <w:rFonts w:ascii="Calibri" w:eastAsia="SimSun" w:hAnsi="Calibri" w:cs="Times New Roman"/>
          <w:szCs w:val="22"/>
          <w:lang w:eastAsia="zh-CN"/>
        </w:rPr>
        <w:t>Young learners are encouraged to share their ideas and contribute to classroom decisions.</w:t>
      </w:r>
    </w:p>
    <w:p w:rsidR="00A743D3" w:rsidRPr="00A743D3" w:rsidRDefault="00A743D3" w:rsidP="00415176">
      <w:pPr>
        <w:tabs>
          <w:tab w:val="left" w:pos="1950"/>
        </w:tabs>
        <w:spacing w:before="120" w:line="240" w:lineRule="auto"/>
        <w:contextualSpacing/>
        <w:rPr>
          <w:rFonts w:ascii="Calibri" w:eastAsia="SimSun" w:hAnsi="Calibri" w:cs="Times New Roman"/>
          <w:szCs w:val="22"/>
          <w:lang w:eastAsia="zh-CN"/>
        </w:rPr>
      </w:pPr>
      <w:r w:rsidRPr="00A743D3">
        <w:rPr>
          <w:rFonts w:ascii="Calibri" w:eastAsia="SimSun" w:hAnsi="Calibri" w:cs="Times New Roman"/>
          <w:b/>
          <w:szCs w:val="22"/>
          <w:lang w:eastAsia="zh-CN"/>
        </w:rPr>
        <w:t>Learning experiences are purposeful:</w:t>
      </w:r>
      <w:r w:rsidRPr="00A743D3">
        <w:rPr>
          <w:rFonts w:ascii="Calibri" w:eastAsia="SimSun" w:hAnsi="Calibri" w:cs="Times New Roman"/>
          <w:szCs w:val="22"/>
          <w:lang w:eastAsia="zh-CN"/>
        </w:rPr>
        <w:t xml:space="preserve"> Learning is guided by real-life events in authentic contexts.</w:t>
      </w:r>
    </w:p>
    <w:p w:rsidR="00A743D3" w:rsidRPr="00A743D3" w:rsidRDefault="00A743D3" w:rsidP="00415176">
      <w:pPr>
        <w:tabs>
          <w:tab w:val="left" w:pos="1950"/>
        </w:tabs>
        <w:spacing w:before="120" w:line="240" w:lineRule="auto"/>
        <w:contextualSpacing/>
        <w:rPr>
          <w:rFonts w:ascii="Calibri" w:eastAsia="SimSun" w:hAnsi="Calibri" w:cs="Times New Roman"/>
          <w:b/>
          <w:color w:val="548DD4"/>
          <w:sz w:val="24"/>
          <w:lang w:eastAsia="zh-CN"/>
        </w:rPr>
      </w:pPr>
      <w:r w:rsidRPr="00A743D3">
        <w:rPr>
          <w:rFonts w:ascii="Calibri" w:eastAsia="SimSun" w:hAnsi="Calibri" w:cs="Times New Roman"/>
          <w:b/>
          <w:szCs w:val="22"/>
          <w:lang w:eastAsia="zh-CN"/>
        </w:rPr>
        <w:t>Collaboration supports learning:</w:t>
      </w:r>
      <w:r w:rsidRPr="00A743D3">
        <w:rPr>
          <w:rFonts w:ascii="Calibri" w:eastAsia="SimSun" w:hAnsi="Calibri" w:cs="Times New Roman"/>
          <w:szCs w:val="22"/>
          <w:lang w:eastAsia="zh-CN"/>
        </w:rPr>
        <w:t xml:space="preserve"> An event-based approach provides opportunities for cooperation and collaborative learning in small and large group experiences</w:t>
      </w:r>
    </w:p>
    <w:p w:rsidR="00A743D3" w:rsidRPr="00A743D3" w:rsidRDefault="00A743D3" w:rsidP="00415176">
      <w:pPr>
        <w:spacing w:before="120" w:line="240" w:lineRule="auto"/>
        <w:contextualSpacing/>
        <w:rPr>
          <w:rFonts w:ascii="Calibri" w:eastAsia="SimSun" w:hAnsi="Calibri" w:cs="Times New Roman"/>
          <w:szCs w:val="22"/>
          <w:lang w:eastAsia="zh-CN"/>
        </w:rPr>
      </w:pPr>
      <w:r w:rsidRPr="00A743D3">
        <w:rPr>
          <w:rFonts w:ascii="Calibri" w:eastAsia="SimSun" w:hAnsi="Calibri" w:cs="Times New Roman"/>
          <w:b/>
          <w:szCs w:val="22"/>
          <w:lang w:eastAsia="zh-CN"/>
        </w:rPr>
        <w:t>Learning environments facilitate learning:</w:t>
      </w:r>
      <w:r w:rsidRPr="00A743D3">
        <w:rPr>
          <w:rFonts w:ascii="Calibri" w:eastAsia="SimSun" w:hAnsi="Calibri" w:cs="Times New Roman"/>
          <w:szCs w:val="22"/>
          <w:lang w:eastAsia="zh-CN"/>
        </w:rPr>
        <w:t xml:space="preserve"> The learning environment promotes curiosity, engagement, autonomy and independence.</w:t>
      </w:r>
    </w:p>
    <w:p w:rsidR="00A743D3" w:rsidRDefault="00A743D3" w:rsidP="00415176">
      <w:pPr>
        <w:spacing w:before="120" w:line="240" w:lineRule="auto"/>
        <w:contextualSpacing/>
        <w:rPr>
          <w:rFonts w:ascii="Calibri" w:eastAsia="SimSun" w:hAnsi="Calibri" w:cs="Times New Roman"/>
          <w:b/>
          <w:color w:val="548DD4"/>
          <w:sz w:val="24"/>
          <w:lang w:eastAsia="zh-CN"/>
        </w:rPr>
      </w:pPr>
    </w:p>
    <w:p w:rsidR="00A743D3" w:rsidRPr="002F64B2" w:rsidRDefault="005F4517" w:rsidP="00415176">
      <w:pPr>
        <w:pStyle w:val="Heading2"/>
        <w:spacing w:before="120" w:line="240" w:lineRule="auto"/>
        <w:contextualSpacing/>
        <w:rPr>
          <w:rFonts w:asciiTheme="minorHAnsi" w:hAnsiTheme="minorHAnsi" w:cstheme="minorHAnsi"/>
          <w:b/>
          <w:sz w:val="28"/>
          <w:szCs w:val="28"/>
          <w:lang w:eastAsia="zh-CN"/>
        </w:rPr>
      </w:pPr>
      <w:r>
        <w:rPr>
          <w:rFonts w:asciiTheme="minorHAnsi" w:hAnsiTheme="minorHAnsi" w:cstheme="minorHAnsi"/>
          <w:b/>
          <w:sz w:val="28"/>
          <w:szCs w:val="28"/>
          <w:lang w:eastAsia="zh-CN"/>
        </w:rPr>
        <w:t>K</w:t>
      </w:r>
      <w:r w:rsidR="00A743D3" w:rsidRPr="002F64B2">
        <w:rPr>
          <w:rFonts w:asciiTheme="minorHAnsi" w:hAnsiTheme="minorHAnsi" w:cstheme="minorHAnsi"/>
          <w:b/>
          <w:sz w:val="28"/>
          <w:szCs w:val="28"/>
          <w:lang w:eastAsia="zh-CN"/>
        </w:rPr>
        <w:t>nowl</w:t>
      </w:r>
      <w:r>
        <w:rPr>
          <w:rFonts w:asciiTheme="minorHAnsi" w:hAnsiTheme="minorHAnsi" w:cstheme="minorHAnsi"/>
          <w:b/>
          <w:sz w:val="28"/>
          <w:szCs w:val="28"/>
          <w:lang w:eastAsia="zh-CN"/>
        </w:rPr>
        <w:t>edge, skills and dispositions</w:t>
      </w:r>
      <w:r w:rsidR="00A743D3" w:rsidRPr="002F64B2">
        <w:rPr>
          <w:rFonts w:asciiTheme="minorHAnsi" w:hAnsiTheme="minorHAnsi" w:cstheme="minorHAnsi"/>
          <w:b/>
          <w:sz w:val="28"/>
          <w:szCs w:val="28"/>
          <w:lang w:eastAsia="zh-CN"/>
        </w:rPr>
        <w:t xml:space="preserve"> young learners need to engage in an event-based approach?</w:t>
      </w:r>
    </w:p>
    <w:p w:rsidR="00A743D3" w:rsidRPr="002B691D" w:rsidRDefault="00A743D3" w:rsidP="00415176">
      <w:pPr>
        <w:spacing w:before="120" w:line="240" w:lineRule="auto"/>
        <w:contextualSpacing/>
        <w:rPr>
          <w:rFonts w:ascii="Calibri" w:eastAsia="MS Mincho" w:hAnsi="Calibri" w:cs="Arial"/>
          <w:noProof/>
          <w:color w:val="000000"/>
          <w:szCs w:val="20"/>
          <w:lang w:eastAsia="zh-CN"/>
        </w:rPr>
      </w:pPr>
      <w:r w:rsidRPr="00A743D3">
        <w:rPr>
          <w:rFonts w:ascii="Calibri" w:eastAsia="MS PGothic" w:hAnsi="Calibri" w:cs="+mn-cs"/>
          <w:bCs/>
          <w:kern w:val="24"/>
          <w:szCs w:val="22"/>
          <w:lang w:eastAsia="zh-CN"/>
        </w:rPr>
        <w:t>An event-based approach to learning requires young learners to contribute to class discussions, to plan and collaborate with peers and to be willing to try new challenges with the support of adults and peers. Of particular importance in the early years is establishing the prosocial behaviours that support classroom interactions and underpin collaboration. Teachers discuss and model these skills and dispositions as part of everyday classroom experiences to facilitate young learners’ understanding and capacity to engage collaboratively with other learners.</w:t>
      </w:r>
      <w:r w:rsidR="002B691D" w:rsidRPr="002B691D">
        <w:rPr>
          <w:rFonts w:ascii="Calibri" w:eastAsia="SimSun" w:hAnsi="Calibri" w:cs="Times New Roman"/>
          <w:szCs w:val="22"/>
          <w:lang w:eastAsia="zh-CN"/>
        </w:rPr>
        <w:t xml:space="preserve"> The knowledge, skills and dispositions young learners require to engage in </w:t>
      </w:r>
      <w:r w:rsidR="002B691D">
        <w:rPr>
          <w:rFonts w:ascii="Calibri" w:eastAsia="SimSun" w:hAnsi="Calibri" w:cs="Times New Roman"/>
          <w:szCs w:val="22"/>
          <w:lang w:eastAsia="zh-CN"/>
        </w:rPr>
        <w:t xml:space="preserve">an event-based approach to learning </w:t>
      </w:r>
      <w:r w:rsidR="002B691D" w:rsidRPr="002B691D">
        <w:rPr>
          <w:rFonts w:ascii="Calibri" w:eastAsia="SimSun" w:hAnsi="Calibri" w:cs="Times New Roman"/>
          <w:szCs w:val="22"/>
          <w:lang w:eastAsia="zh-CN"/>
        </w:rPr>
        <w:t>are closely linked to the Australian Curriculum, general capabilities, Personal and Social capability</w:t>
      </w:r>
      <w:r w:rsidR="002B691D">
        <w:rPr>
          <w:rFonts w:ascii="Calibri" w:eastAsia="SimSun" w:hAnsi="Calibri" w:cs="Times New Roman"/>
          <w:szCs w:val="22"/>
          <w:lang w:eastAsia="zh-CN"/>
        </w:rPr>
        <w:t xml:space="preserve"> and </w:t>
      </w:r>
      <w:r w:rsidR="002B691D" w:rsidRPr="002B691D">
        <w:rPr>
          <w:rFonts w:ascii="Calibri" w:eastAsia="MS Mincho" w:hAnsi="Calibri" w:cs="HelveticaNeueLTStd-Md"/>
          <w:szCs w:val="22"/>
          <w:lang w:eastAsia="zh-CN"/>
        </w:rPr>
        <w:t>Critical and Creative Thinking</w:t>
      </w:r>
      <w:r w:rsidR="002B691D" w:rsidRPr="002B691D">
        <w:rPr>
          <w:rFonts w:ascii="Calibri" w:eastAsia="SimSun" w:hAnsi="Calibri" w:cs="Times New Roman"/>
          <w:szCs w:val="22"/>
          <w:lang w:eastAsia="zh-CN"/>
        </w:rPr>
        <w:t xml:space="preserve">. </w:t>
      </w:r>
    </w:p>
    <w:p w:rsidR="00A743D3" w:rsidRPr="00A743D3" w:rsidRDefault="00A743D3" w:rsidP="00415176">
      <w:pPr>
        <w:spacing w:before="120" w:line="240" w:lineRule="auto"/>
        <w:contextualSpacing/>
        <w:rPr>
          <w:rFonts w:ascii="Calibri" w:eastAsia="SimSun" w:hAnsi="Calibri" w:cs="Times New Roman"/>
          <w:szCs w:val="22"/>
          <w:lang w:eastAsia="zh-CN"/>
        </w:rPr>
      </w:pPr>
      <w:r w:rsidRPr="002F64B2">
        <w:rPr>
          <w:rStyle w:val="Heading3Char"/>
          <w:rFonts w:asciiTheme="minorHAnsi" w:hAnsiTheme="minorHAnsi" w:cstheme="minorHAnsi"/>
          <w:b/>
          <w:sz w:val="22"/>
          <w:szCs w:val="22"/>
        </w:rPr>
        <w:t>Social and Personal learning</w:t>
      </w:r>
      <w:r w:rsidR="002F64B2">
        <w:rPr>
          <w:rFonts w:ascii="Calibri" w:eastAsia="SimSun" w:hAnsi="Calibri" w:cs="Times New Roman"/>
          <w:b/>
          <w:szCs w:val="22"/>
          <w:lang w:eastAsia="zh-CN"/>
        </w:rPr>
        <w:t xml:space="preserve">: </w:t>
      </w:r>
      <w:r w:rsidRPr="00A743D3">
        <w:rPr>
          <w:rFonts w:ascii="Calibri" w:eastAsia="SimSun" w:hAnsi="Calibri" w:cs="Times New Roman"/>
          <w:szCs w:val="22"/>
          <w:lang w:eastAsia="zh-CN"/>
        </w:rPr>
        <w:t>Teachers discuss and model ways to:</w:t>
      </w:r>
    </w:p>
    <w:p w:rsidR="00387C64" w:rsidRPr="00387C64" w:rsidRDefault="00387C64" w:rsidP="00415176">
      <w:pPr>
        <w:tabs>
          <w:tab w:val="left" w:pos="2370"/>
        </w:tabs>
        <w:spacing w:before="120" w:line="240" w:lineRule="auto"/>
        <w:contextualSpacing/>
        <w:rPr>
          <w:rFonts w:ascii="Calibri" w:eastAsia="MS PGothic" w:hAnsi="Calibri" w:cs="+mn-cs"/>
          <w:kern w:val="24"/>
          <w:szCs w:val="22"/>
        </w:rPr>
      </w:pPr>
      <w:r w:rsidRPr="00387C64">
        <w:rPr>
          <w:rFonts w:ascii="Calibri" w:eastAsia="MS PGothic" w:hAnsi="Calibri" w:cs="+mn-cs"/>
          <w:b/>
          <w:kern w:val="24"/>
          <w:szCs w:val="22"/>
        </w:rPr>
        <w:t>Recognise emotions</w:t>
      </w:r>
      <w:r w:rsidRPr="00387C64">
        <w:rPr>
          <w:rFonts w:ascii="Calibri" w:eastAsia="MS PGothic" w:hAnsi="Calibri" w:cs="+mn-cs"/>
          <w:kern w:val="24"/>
          <w:szCs w:val="22"/>
        </w:rPr>
        <w:t>: ‘Sometimes I get worried when I can’t do something and then I remember that if ‘have a go’ I might surprise myself with what I can do!’</w:t>
      </w:r>
    </w:p>
    <w:p w:rsidR="00387C64" w:rsidRPr="00387C64" w:rsidRDefault="00387C64" w:rsidP="00415176">
      <w:pPr>
        <w:tabs>
          <w:tab w:val="left" w:pos="2370"/>
        </w:tabs>
        <w:spacing w:before="120" w:line="240" w:lineRule="auto"/>
        <w:contextualSpacing/>
        <w:rPr>
          <w:rFonts w:ascii="Calibri" w:eastAsia="MS PGothic" w:hAnsi="Calibri" w:cs="+mn-cs"/>
          <w:bCs/>
          <w:kern w:val="24"/>
          <w:szCs w:val="22"/>
        </w:rPr>
      </w:pPr>
      <w:r w:rsidRPr="00387C64">
        <w:rPr>
          <w:rFonts w:ascii="Calibri" w:eastAsia="MS PGothic" w:hAnsi="Calibri" w:cs="+mn-cs"/>
          <w:b/>
          <w:kern w:val="24"/>
          <w:szCs w:val="22"/>
        </w:rPr>
        <w:t>Express emotions appropriately</w:t>
      </w:r>
      <w:r w:rsidRPr="00387C64">
        <w:rPr>
          <w:rFonts w:ascii="Calibri" w:eastAsia="MS PGothic" w:hAnsi="Calibri" w:cs="+mn-cs"/>
          <w:kern w:val="24"/>
          <w:szCs w:val="22"/>
        </w:rPr>
        <w:t>: ‘If we make a sign for the grandparent’s day morning tea, what can we say or draw that will make people feel welcome and special?’</w:t>
      </w:r>
    </w:p>
    <w:p w:rsidR="00387C64" w:rsidRPr="00387C64" w:rsidRDefault="00387C64" w:rsidP="00415176">
      <w:pPr>
        <w:spacing w:before="120" w:line="240" w:lineRule="auto"/>
        <w:contextualSpacing/>
        <w:rPr>
          <w:rFonts w:ascii="Calibri" w:eastAsia="MS PGothic" w:hAnsi="Calibri" w:cs="+mn-cs"/>
          <w:kern w:val="24"/>
          <w:szCs w:val="22"/>
        </w:rPr>
      </w:pPr>
      <w:r w:rsidRPr="00387C64">
        <w:rPr>
          <w:rFonts w:ascii="Calibri" w:eastAsia="MS PGothic" w:hAnsi="Calibri" w:cs="+mn-cs"/>
          <w:b/>
          <w:kern w:val="24"/>
          <w:szCs w:val="22"/>
        </w:rPr>
        <w:t>Work collaboratively</w:t>
      </w:r>
      <w:r w:rsidRPr="00387C64">
        <w:rPr>
          <w:rFonts w:ascii="Calibri" w:eastAsia="MS PGothic" w:hAnsi="Calibri" w:cs="+mn-cs"/>
          <w:kern w:val="24"/>
          <w:szCs w:val="22"/>
        </w:rPr>
        <w:t>: ‘Thanks for sharing the clipboards now each group can make their plans.’ ‘Maybe Connor and Bella can help us with the sign, together they know lots of words.’</w:t>
      </w:r>
    </w:p>
    <w:p w:rsidR="00387C64" w:rsidRPr="00387C64" w:rsidRDefault="00387C64" w:rsidP="00415176">
      <w:pPr>
        <w:spacing w:before="120" w:line="240" w:lineRule="auto"/>
        <w:contextualSpacing/>
        <w:rPr>
          <w:rFonts w:ascii="Calibri" w:eastAsia="MS PGothic" w:hAnsi="Calibri" w:cs="+mn-cs"/>
          <w:kern w:val="24"/>
          <w:szCs w:val="22"/>
        </w:rPr>
      </w:pPr>
      <w:r w:rsidRPr="00387C64">
        <w:rPr>
          <w:rFonts w:ascii="Calibri" w:eastAsia="MS PGothic" w:hAnsi="Calibri" w:cs="+mn-cs"/>
          <w:b/>
          <w:kern w:val="24"/>
          <w:szCs w:val="22"/>
        </w:rPr>
        <w:t>Communicate effectively</w:t>
      </w:r>
      <w:r w:rsidRPr="00387C64">
        <w:rPr>
          <w:rFonts w:ascii="Calibri" w:eastAsia="MS PGothic" w:hAnsi="Calibri" w:cs="+mn-cs"/>
          <w:kern w:val="24"/>
          <w:szCs w:val="22"/>
        </w:rPr>
        <w:t>: ‘When someone is talking to you remember to stop, look and listen, then they know that you are interested in what they are saying.’ ‘Cassie when someone in your group has shared their equipment with you, remember to say “thanks very much for sharing and smile”.’ ‘That’s good manners.’</w:t>
      </w:r>
    </w:p>
    <w:p w:rsidR="00387C64" w:rsidRPr="00387C64" w:rsidRDefault="00387C64" w:rsidP="00415176">
      <w:pPr>
        <w:tabs>
          <w:tab w:val="left" w:pos="2370"/>
        </w:tabs>
        <w:spacing w:before="120" w:line="240" w:lineRule="auto"/>
        <w:contextualSpacing/>
        <w:rPr>
          <w:rFonts w:ascii="Calibri" w:eastAsia="MS PGothic" w:hAnsi="Calibri" w:cs="+mn-cs"/>
          <w:kern w:val="24"/>
          <w:szCs w:val="22"/>
        </w:rPr>
      </w:pPr>
      <w:r w:rsidRPr="00387C64">
        <w:rPr>
          <w:rFonts w:ascii="Calibri" w:eastAsia="MS PGothic" w:hAnsi="Calibri" w:cs="+mn-cs"/>
          <w:b/>
          <w:kern w:val="24"/>
          <w:szCs w:val="22"/>
        </w:rPr>
        <w:t>Negotiate and resolve conflict</w:t>
      </w:r>
      <w:r w:rsidRPr="00387C64">
        <w:rPr>
          <w:rFonts w:ascii="Calibri" w:eastAsia="MS PGothic" w:hAnsi="Calibri" w:cs="+mn-cs"/>
          <w:kern w:val="24"/>
          <w:szCs w:val="22"/>
        </w:rPr>
        <w:t xml:space="preserve">: ‘Sometimes you might feel upset when friends don’t want to listen to your ideas. Instead of getting angry think about what else you might say or do?’ </w:t>
      </w:r>
    </w:p>
    <w:p w:rsidR="00387C64" w:rsidRPr="00387C64" w:rsidRDefault="00387C64" w:rsidP="00415176">
      <w:pPr>
        <w:tabs>
          <w:tab w:val="left" w:pos="2370"/>
        </w:tabs>
        <w:spacing w:before="120" w:line="240" w:lineRule="auto"/>
        <w:contextualSpacing/>
        <w:rPr>
          <w:rFonts w:ascii="Calibri" w:eastAsia="MS PGothic" w:hAnsi="Calibri" w:cs="+mn-cs"/>
          <w:kern w:val="24"/>
          <w:szCs w:val="22"/>
        </w:rPr>
      </w:pPr>
      <w:r w:rsidRPr="00387C64">
        <w:rPr>
          <w:rFonts w:ascii="Calibri" w:eastAsia="MS PGothic" w:hAnsi="Calibri" w:cs="+mn-cs"/>
          <w:b/>
          <w:kern w:val="24"/>
          <w:szCs w:val="22"/>
        </w:rPr>
        <w:t>Develop leadership skills</w:t>
      </w:r>
      <w:r w:rsidRPr="00387C64">
        <w:rPr>
          <w:rFonts w:ascii="Calibri" w:eastAsia="MS PGothic" w:hAnsi="Calibri" w:cs="+mn-cs"/>
          <w:kern w:val="24"/>
          <w:szCs w:val="22"/>
        </w:rPr>
        <w:t>: ‘Why don’t I hold the top part of your construction while you get the masking tape that might be stronger than the glue stick?’</w:t>
      </w:r>
    </w:p>
    <w:p w:rsidR="00415176" w:rsidRDefault="00415176" w:rsidP="00415176">
      <w:pPr>
        <w:spacing w:before="120" w:line="240" w:lineRule="auto"/>
        <w:contextualSpacing/>
        <w:rPr>
          <w:rStyle w:val="Heading3Char"/>
          <w:rFonts w:asciiTheme="minorHAnsi" w:hAnsiTheme="minorHAnsi" w:cstheme="minorHAnsi"/>
          <w:b/>
          <w:sz w:val="22"/>
          <w:szCs w:val="22"/>
        </w:rPr>
      </w:pPr>
    </w:p>
    <w:p w:rsidR="00A743D3" w:rsidRPr="00A743D3" w:rsidRDefault="00A743D3" w:rsidP="00415176">
      <w:pPr>
        <w:spacing w:before="120" w:line="240" w:lineRule="auto"/>
        <w:contextualSpacing/>
        <w:rPr>
          <w:rFonts w:ascii="Calibri" w:eastAsia="MS Mincho" w:hAnsi="Calibri" w:cs="HelveticaNeueLTStd-Md"/>
          <w:b/>
          <w:szCs w:val="22"/>
          <w:lang w:eastAsia="zh-CN"/>
        </w:rPr>
      </w:pPr>
      <w:bookmarkStart w:id="0" w:name="_GoBack"/>
      <w:bookmarkEnd w:id="0"/>
      <w:r w:rsidRPr="00387C64">
        <w:rPr>
          <w:rStyle w:val="Heading3Char"/>
          <w:rFonts w:asciiTheme="minorHAnsi" w:hAnsiTheme="minorHAnsi" w:cstheme="minorHAnsi"/>
          <w:b/>
          <w:sz w:val="22"/>
          <w:szCs w:val="22"/>
        </w:rPr>
        <w:t>Critical and Creative Thinking</w:t>
      </w:r>
      <w:r w:rsidRPr="00A743D3">
        <w:rPr>
          <w:rFonts w:ascii="Calibri" w:eastAsia="MS Mincho" w:hAnsi="Calibri" w:cs="HelveticaNeueLTStd-Md"/>
          <w:b/>
          <w:szCs w:val="22"/>
          <w:lang w:eastAsia="zh-CN"/>
        </w:rPr>
        <w:t xml:space="preserve">:  </w:t>
      </w:r>
      <w:r w:rsidRPr="00A743D3">
        <w:rPr>
          <w:rFonts w:ascii="Calibri" w:eastAsia="MS PGothic" w:hAnsi="Calibri" w:cs="+mn-cs"/>
          <w:bCs/>
          <w:kern w:val="24"/>
          <w:szCs w:val="22"/>
          <w:lang w:eastAsia="zh-CN"/>
        </w:rPr>
        <w:t>Teachers discuss and model ways to:</w:t>
      </w:r>
    </w:p>
    <w:p w:rsidR="00387C64" w:rsidRPr="00A743D3" w:rsidRDefault="00387C64" w:rsidP="00415176">
      <w:pPr>
        <w:tabs>
          <w:tab w:val="left" w:pos="2393"/>
        </w:tabs>
        <w:spacing w:before="120" w:line="240" w:lineRule="auto"/>
        <w:contextualSpacing/>
        <w:rPr>
          <w:rFonts w:ascii="Calibri" w:hAnsi="Calibri"/>
          <w:color w:val="548DD4"/>
          <w:sz w:val="20"/>
        </w:rPr>
      </w:pPr>
      <w:r w:rsidRPr="00387C64">
        <w:rPr>
          <w:rFonts w:ascii="Calibri" w:hAnsi="Calibri" w:cs="HelveticaNeueLTStd-Bd"/>
          <w:b/>
          <w:sz w:val="20"/>
        </w:rPr>
        <w:lastRenderedPageBreak/>
        <w:t>Pose questions</w:t>
      </w:r>
      <w:r>
        <w:rPr>
          <w:rFonts w:ascii="Calibri" w:hAnsi="Calibri"/>
          <w:color w:val="548DD4"/>
          <w:sz w:val="20"/>
        </w:rPr>
        <w:t xml:space="preserve">: </w:t>
      </w:r>
      <w:r w:rsidRPr="00A743D3">
        <w:rPr>
          <w:rFonts w:ascii="Calibri" w:eastAsia="MS PGothic" w:hAnsi="Calibri" w:cs="+mn-cs"/>
          <w:kern w:val="24"/>
          <w:sz w:val="20"/>
        </w:rPr>
        <w:t xml:space="preserve">‘People ask questions when they want to find out some information. A question needs to start with </w:t>
      </w:r>
      <w:proofErr w:type="gramStart"/>
      <w:r w:rsidRPr="00A743D3">
        <w:rPr>
          <w:rFonts w:ascii="Calibri" w:eastAsia="MS PGothic" w:hAnsi="Calibri" w:cs="+mn-cs"/>
          <w:kern w:val="24"/>
          <w:sz w:val="20"/>
        </w:rPr>
        <w:t>a who</w:t>
      </w:r>
      <w:proofErr w:type="gramEnd"/>
      <w:r w:rsidRPr="00A743D3">
        <w:rPr>
          <w:rFonts w:ascii="Calibri" w:eastAsia="MS PGothic" w:hAnsi="Calibri" w:cs="+mn-cs"/>
          <w:kern w:val="24"/>
          <w:sz w:val="20"/>
        </w:rPr>
        <w:t>, what, when, where, why, or how word like, “When can I start making my signs for the museum?</w:t>
      </w:r>
      <w:r>
        <w:rPr>
          <w:rFonts w:ascii="Calibri" w:eastAsia="MS PGothic" w:hAnsi="Calibri" w:cs="+mn-cs"/>
          <w:kern w:val="24"/>
          <w:sz w:val="20"/>
        </w:rPr>
        <w:t>”</w:t>
      </w:r>
      <w:r w:rsidRPr="00A743D3">
        <w:rPr>
          <w:rFonts w:ascii="Calibri" w:eastAsia="MS PGothic" w:hAnsi="Calibri" w:cs="+mn-cs"/>
          <w:kern w:val="24"/>
          <w:sz w:val="20"/>
        </w:rPr>
        <w:t>’</w:t>
      </w:r>
    </w:p>
    <w:p w:rsidR="00387C64" w:rsidRPr="00A743D3" w:rsidRDefault="00387C64" w:rsidP="00415176">
      <w:pPr>
        <w:tabs>
          <w:tab w:val="left" w:pos="2393"/>
        </w:tabs>
        <w:spacing w:before="120" w:line="240" w:lineRule="auto"/>
        <w:contextualSpacing/>
        <w:rPr>
          <w:rFonts w:ascii="Calibri" w:eastAsia="SimSun" w:hAnsi="Calibri"/>
          <w:color w:val="548DD4"/>
          <w:sz w:val="20"/>
        </w:rPr>
      </w:pPr>
      <w:r w:rsidRPr="00387C64">
        <w:rPr>
          <w:rFonts w:ascii="Calibri" w:hAnsi="Calibri" w:cs="HelveticaNeueLTStd-Bd"/>
          <w:b/>
          <w:sz w:val="20"/>
        </w:rPr>
        <w:t>Identify and clarify information and ideas</w:t>
      </w:r>
      <w:r>
        <w:rPr>
          <w:rFonts w:ascii="Calibri" w:hAnsi="Calibri" w:cs="HelveticaNeueLTStd-Bd"/>
          <w:sz w:val="20"/>
        </w:rPr>
        <w:t xml:space="preserve">: </w:t>
      </w:r>
      <w:r w:rsidRPr="00A743D3">
        <w:rPr>
          <w:rFonts w:ascii="Calibri" w:eastAsia="SimSun" w:hAnsi="Calibri"/>
          <w:sz w:val="20"/>
        </w:rPr>
        <w:t xml:space="preserve">‘I don’t think the marbles will float in the water.’ Does anyone know why that might be?’ </w:t>
      </w:r>
    </w:p>
    <w:p w:rsidR="00387C64" w:rsidRPr="00A743D3" w:rsidRDefault="00387C64" w:rsidP="00415176">
      <w:pPr>
        <w:tabs>
          <w:tab w:val="left" w:pos="2393"/>
        </w:tabs>
        <w:spacing w:before="120" w:line="240" w:lineRule="auto"/>
        <w:contextualSpacing/>
        <w:rPr>
          <w:rFonts w:ascii="Calibri" w:eastAsia="SimSun" w:hAnsi="Calibri"/>
          <w:b/>
          <w:color w:val="548DD4"/>
          <w:sz w:val="20"/>
        </w:rPr>
      </w:pPr>
      <w:r w:rsidRPr="00387C64">
        <w:rPr>
          <w:rFonts w:ascii="Calibri" w:hAnsi="Calibri" w:cs="HelveticaNeueLTStd-Bd"/>
          <w:b/>
          <w:sz w:val="20"/>
        </w:rPr>
        <w:t>Organise and process information</w:t>
      </w:r>
      <w:r>
        <w:rPr>
          <w:rFonts w:ascii="Calibri" w:hAnsi="Calibri" w:cs="HelveticaNeueLTStd-Bd"/>
          <w:sz w:val="20"/>
        </w:rPr>
        <w:t xml:space="preserve">: </w:t>
      </w:r>
      <w:r w:rsidRPr="00A743D3">
        <w:rPr>
          <w:rFonts w:ascii="Calibri" w:eastAsia="MS PGothic" w:hAnsi="Calibri" w:cs="+mn-cs"/>
          <w:bCs/>
          <w:kern w:val="24"/>
          <w:sz w:val="20"/>
        </w:rPr>
        <w:t>‘If we have a museum tour in our classroom we might need to make a list of the people we need to invite to see our exhibition. How will we decide whose names to add to the invitation list?’</w:t>
      </w:r>
      <w:r w:rsidRPr="00A743D3">
        <w:rPr>
          <w:rFonts w:ascii="Calibri" w:eastAsia="MS PGothic" w:hAnsi="Calibri" w:cs="+mn-cs"/>
          <w:bCs/>
          <w:kern w:val="24"/>
          <w:sz w:val="20"/>
        </w:rPr>
        <w:tab/>
      </w:r>
    </w:p>
    <w:p w:rsidR="00387C64" w:rsidRPr="00A743D3" w:rsidRDefault="00387C64" w:rsidP="00415176">
      <w:pPr>
        <w:tabs>
          <w:tab w:val="left" w:pos="2393"/>
        </w:tabs>
        <w:spacing w:before="120" w:line="240" w:lineRule="auto"/>
        <w:contextualSpacing/>
        <w:rPr>
          <w:rFonts w:ascii="Calibri" w:eastAsia="SimSun" w:hAnsi="Calibri"/>
          <w:sz w:val="20"/>
        </w:rPr>
      </w:pPr>
      <w:r w:rsidRPr="00387C64">
        <w:rPr>
          <w:rFonts w:ascii="Calibri" w:hAnsi="Calibri" w:cs="HelveticaNeueLTStd-Bd"/>
          <w:b/>
          <w:sz w:val="20"/>
        </w:rPr>
        <w:t>Imagine possibilities and connect ideas</w:t>
      </w:r>
      <w:r>
        <w:rPr>
          <w:rFonts w:ascii="Calibri" w:hAnsi="Calibri" w:cs="HelveticaNeueLTStd-Bd"/>
          <w:sz w:val="20"/>
        </w:rPr>
        <w:t xml:space="preserve">: </w:t>
      </w:r>
      <w:r w:rsidRPr="00A743D3">
        <w:rPr>
          <w:rFonts w:ascii="Calibri" w:eastAsia="SimSun" w:hAnsi="Calibri"/>
          <w:sz w:val="20"/>
        </w:rPr>
        <w:t xml:space="preserve">‘I wonder what might happen if we add more water to the paper </w:t>
      </w:r>
      <w:proofErr w:type="spellStart"/>
      <w:r w:rsidRPr="00A743D3">
        <w:rPr>
          <w:rFonts w:ascii="Calibri" w:eastAsia="SimSun" w:hAnsi="Calibri"/>
          <w:sz w:val="20"/>
        </w:rPr>
        <w:t>maché</w:t>
      </w:r>
      <w:proofErr w:type="spellEnd"/>
      <w:r w:rsidRPr="00A743D3">
        <w:rPr>
          <w:rFonts w:ascii="Calibri" w:eastAsia="SimSun" w:hAnsi="Calibri"/>
          <w:sz w:val="20"/>
        </w:rPr>
        <w:t xml:space="preserve"> mix? ’What do you think might happen to it?’</w:t>
      </w:r>
    </w:p>
    <w:p w:rsidR="00387C64" w:rsidRPr="00A743D3" w:rsidRDefault="00387C64" w:rsidP="00415176">
      <w:pPr>
        <w:tabs>
          <w:tab w:val="left" w:pos="2393"/>
        </w:tabs>
        <w:spacing w:before="120" w:line="240" w:lineRule="auto"/>
        <w:contextualSpacing/>
        <w:rPr>
          <w:rFonts w:ascii="Calibri" w:eastAsia="SimSun" w:hAnsi="Calibri"/>
          <w:sz w:val="20"/>
        </w:rPr>
      </w:pPr>
      <w:r w:rsidRPr="00387C64">
        <w:rPr>
          <w:rFonts w:ascii="Calibri" w:hAnsi="Calibri" w:cs="HelveticaNeueLTStd-Bd"/>
          <w:b/>
          <w:sz w:val="20"/>
        </w:rPr>
        <w:t>Consider alternatives</w:t>
      </w:r>
      <w:r>
        <w:rPr>
          <w:rFonts w:ascii="Calibri" w:hAnsi="Calibri" w:cs="HelveticaNeueLTStd-Bd"/>
          <w:sz w:val="20"/>
        </w:rPr>
        <w:t xml:space="preserve">: </w:t>
      </w:r>
      <w:r w:rsidRPr="00A743D3">
        <w:rPr>
          <w:rFonts w:ascii="Calibri" w:eastAsia="SimSun" w:hAnsi="Calibri"/>
          <w:sz w:val="20"/>
        </w:rPr>
        <w:t>‘How should we organise the signs for our museum so that they don’t flop over?’</w:t>
      </w:r>
    </w:p>
    <w:p w:rsidR="00387C64" w:rsidRPr="00387C64" w:rsidRDefault="00387C64" w:rsidP="00415176">
      <w:pPr>
        <w:autoSpaceDE w:val="0"/>
        <w:autoSpaceDN w:val="0"/>
        <w:adjustRightInd w:val="0"/>
        <w:spacing w:before="120" w:line="240" w:lineRule="auto"/>
        <w:contextualSpacing/>
        <w:rPr>
          <w:rFonts w:ascii="Calibri" w:hAnsi="Calibri" w:cs="HelveticaNeueLTStd-Bd"/>
          <w:sz w:val="20"/>
        </w:rPr>
      </w:pPr>
      <w:r w:rsidRPr="00387C64">
        <w:rPr>
          <w:rFonts w:ascii="Calibri" w:hAnsi="Calibri" w:cs="HelveticaNeueLTStd-Bd"/>
          <w:b/>
          <w:sz w:val="20"/>
        </w:rPr>
        <w:t>Seek solutions and put ideas into action</w:t>
      </w:r>
      <w:r>
        <w:rPr>
          <w:rFonts w:ascii="Calibri" w:hAnsi="Calibri" w:cs="HelveticaNeueLTStd-Bd"/>
          <w:sz w:val="20"/>
        </w:rPr>
        <w:t xml:space="preserve">: </w:t>
      </w:r>
      <w:r w:rsidRPr="00A743D3">
        <w:rPr>
          <w:rFonts w:ascii="Calibri" w:eastAsia="SimSun" w:hAnsi="Calibri"/>
          <w:sz w:val="20"/>
        </w:rPr>
        <w:t>‘How will people know which way to move and what to do in our museum?’</w:t>
      </w:r>
    </w:p>
    <w:p w:rsidR="00387C64" w:rsidRPr="00A743D3" w:rsidRDefault="00387C64" w:rsidP="00415176">
      <w:pPr>
        <w:tabs>
          <w:tab w:val="left" w:pos="2393"/>
        </w:tabs>
        <w:spacing w:before="120" w:line="240" w:lineRule="auto"/>
        <w:contextualSpacing/>
        <w:rPr>
          <w:rFonts w:ascii="Calibri" w:eastAsia="SimSun" w:hAnsi="Calibri"/>
          <w:color w:val="548DD4"/>
          <w:sz w:val="20"/>
        </w:rPr>
      </w:pPr>
      <w:r w:rsidRPr="00387C64">
        <w:rPr>
          <w:rFonts w:ascii="Calibri" w:eastAsia="MS PGothic" w:hAnsi="Calibri" w:cs="+mn-cs"/>
          <w:b/>
          <w:kern w:val="24"/>
          <w:sz w:val="20"/>
        </w:rPr>
        <w:t>Think about thinking (metacognition)</w:t>
      </w:r>
      <w:r>
        <w:rPr>
          <w:rFonts w:ascii="Calibri" w:hAnsi="Calibri" w:cs="HelveticaNeueLTStd-Bd"/>
          <w:sz w:val="20"/>
        </w:rPr>
        <w:t xml:space="preserve">: </w:t>
      </w:r>
      <w:r w:rsidRPr="00A743D3">
        <w:rPr>
          <w:rFonts w:ascii="Calibri" w:eastAsia="SimSun" w:hAnsi="Calibri"/>
          <w:sz w:val="20"/>
        </w:rPr>
        <w:t>‘When I’m not sure about how to draw an animal I think about where I could find the information I need. It might be in a book that I have, in the library or I might do an online search for it using Google images.’</w:t>
      </w:r>
    </w:p>
    <w:p w:rsidR="00387C64" w:rsidRPr="00A743D3" w:rsidRDefault="00387C64" w:rsidP="00415176">
      <w:pPr>
        <w:tabs>
          <w:tab w:val="left" w:pos="2393"/>
        </w:tabs>
        <w:spacing w:before="120" w:line="240" w:lineRule="auto"/>
        <w:contextualSpacing/>
        <w:rPr>
          <w:rFonts w:ascii="Calibri" w:eastAsia="SimSun" w:hAnsi="Calibri"/>
          <w:b/>
          <w:color w:val="548DD4"/>
          <w:sz w:val="20"/>
        </w:rPr>
      </w:pPr>
      <w:r w:rsidRPr="00387C64">
        <w:rPr>
          <w:rFonts w:ascii="Calibri" w:hAnsi="Calibri" w:cs="HelveticaNeueLTStd-Bd"/>
          <w:b/>
          <w:sz w:val="20"/>
        </w:rPr>
        <w:t>Reflect on processes</w:t>
      </w:r>
      <w:r>
        <w:rPr>
          <w:rFonts w:ascii="Calibri" w:hAnsi="Calibri" w:cs="HelveticaNeueLTStd-Bd"/>
          <w:sz w:val="20"/>
        </w:rPr>
        <w:t xml:space="preserve">: </w:t>
      </w:r>
      <w:r w:rsidRPr="00A743D3">
        <w:rPr>
          <w:rFonts w:ascii="Calibri" w:eastAsia="SimSun" w:hAnsi="Calibri"/>
          <w:sz w:val="20"/>
        </w:rPr>
        <w:t>‘Next time we plan a special event in our class maybe we should think about different ways to share our learning.’</w:t>
      </w:r>
    </w:p>
    <w:p w:rsidR="00387C64" w:rsidRPr="00387C64" w:rsidRDefault="00387C64" w:rsidP="00415176">
      <w:pPr>
        <w:autoSpaceDE w:val="0"/>
        <w:autoSpaceDN w:val="0"/>
        <w:adjustRightInd w:val="0"/>
        <w:spacing w:before="120" w:line="240" w:lineRule="auto"/>
        <w:contextualSpacing/>
        <w:rPr>
          <w:rFonts w:ascii="Calibri" w:hAnsi="Calibri" w:cs="HelveticaNeueLTStd-Bd"/>
          <w:sz w:val="20"/>
        </w:rPr>
      </w:pPr>
      <w:r w:rsidRPr="00387C64">
        <w:rPr>
          <w:rFonts w:ascii="Calibri" w:hAnsi="Calibri" w:cs="HelveticaNeueLTStd-Bd"/>
          <w:b/>
          <w:sz w:val="20"/>
        </w:rPr>
        <w:t>Transfer knowledge into new contexts</w:t>
      </w:r>
      <w:r>
        <w:rPr>
          <w:rFonts w:ascii="Calibri" w:hAnsi="Calibri" w:cs="HelveticaNeueLTStd-Bd"/>
          <w:sz w:val="20"/>
        </w:rPr>
        <w:t xml:space="preserve">: </w:t>
      </w:r>
      <w:r w:rsidRPr="00A743D3">
        <w:rPr>
          <w:rFonts w:ascii="Calibri" w:hAnsi="Calibri" w:cs="Arial"/>
          <w:color w:val="000000"/>
          <w:sz w:val="20"/>
        </w:rPr>
        <w:t>‘This morning you used the maths counters for skip counting. When everyone is lined up can you skip count how many people are going to swimming lessons today?’</w:t>
      </w:r>
    </w:p>
    <w:p w:rsidR="00387C64" w:rsidRPr="00A743D3" w:rsidRDefault="00387C64" w:rsidP="00415176">
      <w:pPr>
        <w:tabs>
          <w:tab w:val="left" w:pos="2393"/>
        </w:tabs>
        <w:spacing w:before="120" w:line="240" w:lineRule="auto"/>
        <w:contextualSpacing/>
        <w:rPr>
          <w:rFonts w:ascii="Calibri" w:eastAsia="SimSun" w:hAnsi="Calibri"/>
          <w:sz w:val="20"/>
        </w:rPr>
      </w:pPr>
      <w:r w:rsidRPr="00387C64">
        <w:rPr>
          <w:rFonts w:ascii="Calibri" w:hAnsi="Calibri" w:cs="HelveticaNeueLTStd-Bd"/>
          <w:b/>
          <w:sz w:val="20"/>
        </w:rPr>
        <w:t>Apply logic and reasoning</w:t>
      </w:r>
      <w:r>
        <w:rPr>
          <w:rFonts w:ascii="Calibri" w:hAnsi="Calibri" w:cs="HelveticaNeueLTStd-Bd"/>
          <w:sz w:val="20"/>
        </w:rPr>
        <w:t xml:space="preserve">: </w:t>
      </w:r>
      <w:r w:rsidRPr="00A743D3">
        <w:rPr>
          <w:rFonts w:ascii="Calibri" w:eastAsia="SimSun" w:hAnsi="Calibri"/>
          <w:sz w:val="20"/>
        </w:rPr>
        <w:t xml:space="preserve">‘I think the dough mixture we made is too sticky and that will make it too hard to get off the table. What can we add to make to make the dough firmer?’ </w:t>
      </w:r>
    </w:p>
    <w:p w:rsidR="00387C64" w:rsidRPr="00387C64" w:rsidRDefault="00387C64" w:rsidP="00415176">
      <w:pPr>
        <w:autoSpaceDE w:val="0"/>
        <w:autoSpaceDN w:val="0"/>
        <w:adjustRightInd w:val="0"/>
        <w:spacing w:before="120" w:line="240" w:lineRule="auto"/>
        <w:contextualSpacing/>
        <w:rPr>
          <w:rFonts w:cs="Arial"/>
          <w:color w:val="000000"/>
          <w:lang w:val="en-GB"/>
        </w:rPr>
      </w:pPr>
      <w:r w:rsidRPr="00387C64">
        <w:rPr>
          <w:rFonts w:ascii="Calibri" w:hAnsi="Calibri" w:cs="Arial"/>
          <w:b/>
          <w:color w:val="000000"/>
          <w:sz w:val="20"/>
          <w:lang w:val="en-GB"/>
        </w:rPr>
        <w:t>Draw conclusions and</w:t>
      </w:r>
      <w:r w:rsidRPr="00387C64">
        <w:rPr>
          <w:rFonts w:cs="Arial"/>
          <w:b/>
          <w:color w:val="000000"/>
          <w:lang w:val="en-GB"/>
        </w:rPr>
        <w:t xml:space="preserve"> </w:t>
      </w:r>
      <w:r w:rsidRPr="00387C64">
        <w:rPr>
          <w:rFonts w:ascii="Calibri" w:hAnsi="Calibri" w:cs="Arial"/>
          <w:b/>
          <w:color w:val="000000"/>
          <w:sz w:val="20"/>
          <w:lang w:val="en-GB"/>
        </w:rPr>
        <w:t>design a course of action</w:t>
      </w:r>
      <w:r>
        <w:rPr>
          <w:rFonts w:ascii="Calibri" w:hAnsi="Calibri" w:cs="HelveticaNeueLTStd-Bd"/>
          <w:sz w:val="20"/>
        </w:rPr>
        <w:t xml:space="preserve">: </w:t>
      </w:r>
      <w:r w:rsidRPr="00A743D3">
        <w:rPr>
          <w:rFonts w:ascii="Calibri" w:eastAsia="SimSun" w:hAnsi="Calibri"/>
          <w:sz w:val="20"/>
        </w:rPr>
        <w:t>‘If we move the tables and chairs around we might have more space for the museum tours with parents. Does anyone have some ideas to share so that we can create a plan?’</w:t>
      </w:r>
    </w:p>
    <w:p w:rsidR="00387C64" w:rsidRPr="00A743D3" w:rsidRDefault="00387C64" w:rsidP="00415176">
      <w:pPr>
        <w:tabs>
          <w:tab w:val="left" w:pos="2393"/>
        </w:tabs>
        <w:spacing w:before="120" w:line="240" w:lineRule="auto"/>
        <w:contextualSpacing/>
        <w:rPr>
          <w:rFonts w:ascii="Calibri" w:eastAsia="SimSun" w:hAnsi="Calibri"/>
          <w:sz w:val="20"/>
        </w:rPr>
      </w:pPr>
      <w:r w:rsidRPr="00387C64">
        <w:rPr>
          <w:rFonts w:ascii="Calibri" w:hAnsi="Calibri" w:cs="Arial"/>
          <w:b/>
          <w:color w:val="000000"/>
          <w:sz w:val="20"/>
          <w:lang w:val="en-GB"/>
        </w:rPr>
        <w:t>Evaluate procedures and outcomes</w:t>
      </w:r>
      <w:r>
        <w:rPr>
          <w:rFonts w:ascii="Calibri" w:hAnsi="Calibri" w:cs="Arial"/>
          <w:color w:val="000000"/>
          <w:sz w:val="20"/>
          <w:lang w:val="en-GB"/>
        </w:rPr>
        <w:t xml:space="preserve">: </w:t>
      </w:r>
      <w:r w:rsidRPr="00A743D3">
        <w:rPr>
          <w:rFonts w:ascii="Calibri" w:eastAsia="SimSun" w:hAnsi="Calibri"/>
          <w:sz w:val="20"/>
        </w:rPr>
        <w:t>‘I’m not sure that this website gives us enough information for our information report.’</w:t>
      </w:r>
    </w:p>
    <w:p w:rsidR="00A743D3" w:rsidRPr="00387C64" w:rsidRDefault="00A743D3" w:rsidP="00415176">
      <w:pPr>
        <w:pStyle w:val="Heading2"/>
        <w:spacing w:before="120" w:line="240" w:lineRule="auto"/>
        <w:contextualSpacing/>
        <w:rPr>
          <w:rFonts w:asciiTheme="minorHAnsi" w:hAnsiTheme="minorHAnsi" w:cstheme="minorHAnsi"/>
          <w:b/>
          <w:sz w:val="28"/>
          <w:szCs w:val="28"/>
          <w:lang w:eastAsia="zh-CN"/>
        </w:rPr>
      </w:pPr>
      <w:r w:rsidRPr="00387C64">
        <w:rPr>
          <w:rFonts w:asciiTheme="minorHAnsi" w:hAnsiTheme="minorHAnsi" w:cstheme="minorHAnsi"/>
          <w:b/>
          <w:sz w:val="28"/>
          <w:szCs w:val="28"/>
          <w:lang w:eastAsia="zh-CN"/>
        </w:rPr>
        <w:t>Implementing an Event-based approach</w:t>
      </w:r>
    </w:p>
    <w:p w:rsidR="00A743D3" w:rsidRPr="00A743D3" w:rsidRDefault="00A743D3" w:rsidP="00415176">
      <w:pPr>
        <w:spacing w:before="120" w:line="240" w:lineRule="auto"/>
        <w:contextualSpacing/>
        <w:rPr>
          <w:rFonts w:ascii="Calibri" w:eastAsia="SimSun" w:hAnsi="Calibri" w:cs="Times New Roman"/>
          <w:szCs w:val="22"/>
          <w:lang w:eastAsia="zh-CN"/>
        </w:rPr>
      </w:pPr>
      <w:r w:rsidRPr="00A743D3">
        <w:rPr>
          <w:rFonts w:ascii="Calibri" w:eastAsia="SimSun" w:hAnsi="Calibri" w:cs="Times New Roman"/>
          <w:szCs w:val="22"/>
          <w:lang w:eastAsia="zh-CN"/>
        </w:rPr>
        <w:t xml:space="preserve">An event-based approach to learning may vary in length according to the interests of young learners, the focus for the learning, the specific links being made to the Australian curriculum and availability of resources.  An event may arise from the interests and experiences of a young learner that operate as a springboard for an inquiry, play or a problem to solve. An event may also be teacher-initiated through inquiry questions, connected to: </w:t>
      </w:r>
    </w:p>
    <w:p w:rsidR="00A743D3" w:rsidRPr="00A743D3" w:rsidRDefault="00A743D3" w:rsidP="00415176">
      <w:pPr>
        <w:widowControl w:val="0"/>
        <w:numPr>
          <w:ilvl w:val="0"/>
          <w:numId w:val="4"/>
        </w:numPr>
        <w:suppressAutoHyphens/>
        <w:autoSpaceDE w:val="0"/>
        <w:autoSpaceDN w:val="0"/>
        <w:adjustRightInd w:val="0"/>
        <w:spacing w:before="120" w:line="240" w:lineRule="auto"/>
        <w:ind w:left="714" w:hanging="357"/>
        <w:contextualSpacing/>
        <w:textAlignment w:val="center"/>
        <w:rPr>
          <w:rFonts w:ascii="Calibri" w:eastAsia="SimSun" w:hAnsi="Calibri" w:cs="Times New Roman"/>
          <w:szCs w:val="22"/>
          <w:lang w:eastAsia="zh-CN"/>
        </w:rPr>
      </w:pPr>
      <w:r w:rsidRPr="00A743D3">
        <w:rPr>
          <w:rFonts w:ascii="Calibri" w:eastAsia="SimSun" w:hAnsi="Calibri" w:cs="Times New Roman"/>
          <w:szCs w:val="22"/>
          <w:lang w:eastAsia="zh-CN"/>
        </w:rPr>
        <w:t>cultural events–f</w:t>
      </w:r>
      <w:r w:rsidR="00622ADD">
        <w:rPr>
          <w:rFonts w:ascii="Calibri" w:eastAsia="SimSun" w:hAnsi="Calibri" w:cs="Times New Roman"/>
          <w:szCs w:val="22"/>
          <w:lang w:eastAsia="zh-CN"/>
        </w:rPr>
        <w:t>or example, NAIDOC week, ANZAC D</w:t>
      </w:r>
      <w:r w:rsidRPr="00A743D3">
        <w:rPr>
          <w:rFonts w:ascii="Calibri" w:eastAsia="SimSun" w:hAnsi="Calibri" w:cs="Times New Roman"/>
          <w:szCs w:val="22"/>
          <w:lang w:eastAsia="zh-CN"/>
        </w:rPr>
        <w:t xml:space="preserve">ay, Mother’s </w:t>
      </w:r>
      <w:r w:rsidR="00622ADD">
        <w:rPr>
          <w:rFonts w:ascii="Calibri" w:eastAsia="SimSun" w:hAnsi="Calibri" w:cs="Times New Roman"/>
          <w:szCs w:val="22"/>
          <w:lang w:eastAsia="zh-CN"/>
        </w:rPr>
        <w:t>D</w:t>
      </w:r>
      <w:r w:rsidRPr="00A743D3">
        <w:rPr>
          <w:rFonts w:ascii="Calibri" w:eastAsia="SimSun" w:hAnsi="Calibri" w:cs="Times New Roman"/>
          <w:szCs w:val="22"/>
          <w:lang w:eastAsia="zh-CN"/>
        </w:rPr>
        <w:t>a</w:t>
      </w:r>
      <w:r w:rsidR="00622ADD">
        <w:rPr>
          <w:rFonts w:ascii="Calibri" w:eastAsia="SimSun" w:hAnsi="Calibri" w:cs="Times New Roman"/>
          <w:szCs w:val="22"/>
          <w:lang w:eastAsia="zh-CN"/>
        </w:rPr>
        <w:t>y, Grandparent’s D</w:t>
      </w:r>
      <w:r w:rsidRPr="00A743D3">
        <w:rPr>
          <w:rFonts w:ascii="Calibri" w:eastAsia="SimSun" w:hAnsi="Calibri" w:cs="Times New Roman"/>
          <w:szCs w:val="22"/>
          <w:lang w:eastAsia="zh-CN"/>
        </w:rPr>
        <w:t>ay</w:t>
      </w:r>
    </w:p>
    <w:p w:rsidR="00A743D3" w:rsidRPr="00A743D3" w:rsidRDefault="00A743D3" w:rsidP="00415176">
      <w:pPr>
        <w:widowControl w:val="0"/>
        <w:numPr>
          <w:ilvl w:val="0"/>
          <w:numId w:val="4"/>
        </w:numPr>
        <w:suppressAutoHyphens/>
        <w:autoSpaceDE w:val="0"/>
        <w:autoSpaceDN w:val="0"/>
        <w:adjustRightInd w:val="0"/>
        <w:spacing w:before="120" w:line="240" w:lineRule="auto"/>
        <w:ind w:left="714" w:hanging="357"/>
        <w:contextualSpacing/>
        <w:textAlignment w:val="center"/>
        <w:rPr>
          <w:rFonts w:ascii="Calibri" w:eastAsia="SimSun" w:hAnsi="Calibri" w:cs="Times New Roman"/>
          <w:szCs w:val="22"/>
          <w:lang w:eastAsia="zh-CN"/>
        </w:rPr>
      </w:pPr>
      <w:r w:rsidRPr="00A743D3">
        <w:rPr>
          <w:rFonts w:ascii="Calibri" w:eastAsia="SimSun" w:hAnsi="Calibri" w:cs="Times New Roman"/>
          <w:szCs w:val="22"/>
          <w:lang w:eastAsia="zh-CN"/>
        </w:rPr>
        <w:t>planned excursions– for example, to an art gallery, science centre, museum, puppet show, farm</w:t>
      </w:r>
    </w:p>
    <w:p w:rsidR="00A743D3" w:rsidRPr="00A743D3" w:rsidRDefault="00A743D3" w:rsidP="00415176">
      <w:pPr>
        <w:widowControl w:val="0"/>
        <w:numPr>
          <w:ilvl w:val="0"/>
          <w:numId w:val="4"/>
        </w:numPr>
        <w:suppressAutoHyphens/>
        <w:autoSpaceDE w:val="0"/>
        <w:autoSpaceDN w:val="0"/>
        <w:adjustRightInd w:val="0"/>
        <w:spacing w:before="120" w:line="240" w:lineRule="auto"/>
        <w:ind w:left="714" w:hanging="357"/>
        <w:contextualSpacing/>
        <w:textAlignment w:val="center"/>
        <w:rPr>
          <w:rFonts w:ascii="Calibri" w:eastAsia="SimSun" w:hAnsi="Calibri" w:cs="Times New Roman"/>
          <w:szCs w:val="22"/>
          <w:lang w:eastAsia="zh-CN"/>
        </w:rPr>
      </w:pPr>
      <w:proofErr w:type="gramStart"/>
      <w:r w:rsidRPr="00A743D3">
        <w:rPr>
          <w:rFonts w:ascii="Calibri" w:eastAsia="SimSun" w:hAnsi="Calibri" w:cs="Times New Roman"/>
          <w:szCs w:val="22"/>
          <w:lang w:eastAsia="zh-CN"/>
        </w:rPr>
        <w:t>school-based</w:t>
      </w:r>
      <w:proofErr w:type="gramEnd"/>
      <w:r w:rsidRPr="00A743D3">
        <w:rPr>
          <w:rFonts w:ascii="Calibri" w:eastAsia="SimSun" w:hAnsi="Calibri" w:cs="Times New Roman"/>
          <w:szCs w:val="22"/>
          <w:lang w:eastAsia="zh-CN"/>
        </w:rPr>
        <w:t xml:space="preserve"> events– for example, theatre and dance groups, a community gardening group, community service workers (police, ambulance, fire and rescue).  </w:t>
      </w:r>
    </w:p>
    <w:p w:rsidR="00A743D3" w:rsidRPr="00A743D3" w:rsidRDefault="00A743D3" w:rsidP="00415176">
      <w:pPr>
        <w:spacing w:before="120" w:line="240" w:lineRule="auto"/>
        <w:contextualSpacing/>
        <w:rPr>
          <w:rFonts w:ascii="Calibri" w:eastAsia="SimSun" w:hAnsi="Calibri" w:cs="Times New Roman"/>
          <w:szCs w:val="22"/>
          <w:lang w:eastAsia="zh-CN"/>
        </w:rPr>
      </w:pPr>
      <w:r w:rsidRPr="00A743D3">
        <w:rPr>
          <w:rFonts w:ascii="Calibri" w:eastAsia="SimSun" w:hAnsi="Calibri" w:cs="Times New Roman"/>
          <w:szCs w:val="22"/>
          <w:lang w:eastAsia="zh-CN"/>
        </w:rPr>
        <w:t xml:space="preserve">Apart from the social and personal skills that young learners need to sustain interactions and collaboration with peers, the skills necessary to engage in event-based learning using inquiry, play or problem solving will vary according to the context of the event. For example, if the teacher planned an excursion to an art gallery and young learners were interested in holding an art show the teacher would likely explore various art mediums with young learners and teach media specific skills </w:t>
      </w:r>
      <w:r w:rsidRPr="00A743D3">
        <w:rPr>
          <w:rFonts w:ascii="Calibri" w:eastAsia="SimSun" w:hAnsi="Calibri" w:cs="Times New Roman"/>
          <w:szCs w:val="22"/>
          <w:lang w:eastAsia="zh-CN"/>
        </w:rPr>
        <w:lastRenderedPageBreak/>
        <w:t xml:space="preserve">for example, watercolour painting, clay modelling, digital drawing connecting to assessment requirements. </w:t>
      </w:r>
    </w:p>
    <w:p w:rsidR="00A743D3" w:rsidRPr="00387C64" w:rsidRDefault="00A743D3" w:rsidP="00415176">
      <w:pPr>
        <w:pStyle w:val="Heading2"/>
        <w:spacing w:before="120" w:line="240" w:lineRule="auto"/>
        <w:contextualSpacing/>
        <w:rPr>
          <w:rFonts w:asciiTheme="minorHAnsi" w:hAnsiTheme="minorHAnsi" w:cstheme="minorHAnsi"/>
          <w:b/>
          <w:sz w:val="28"/>
          <w:szCs w:val="28"/>
          <w:lang w:eastAsia="zh-CN"/>
        </w:rPr>
      </w:pPr>
      <w:r w:rsidRPr="00387C64">
        <w:rPr>
          <w:rFonts w:asciiTheme="minorHAnsi" w:hAnsiTheme="minorHAnsi" w:cstheme="minorHAnsi"/>
          <w:b/>
          <w:sz w:val="28"/>
          <w:szCs w:val="28"/>
          <w:lang w:eastAsia="zh-CN"/>
        </w:rPr>
        <w:t>Teacher self-reflection on understandings of event-based approach</w:t>
      </w:r>
    </w:p>
    <w:p w:rsidR="00A743D3" w:rsidRPr="00A743D3" w:rsidRDefault="00A743D3" w:rsidP="00415176">
      <w:pPr>
        <w:widowControl w:val="0"/>
        <w:numPr>
          <w:ilvl w:val="0"/>
          <w:numId w:val="5"/>
        </w:numPr>
        <w:suppressAutoHyphens/>
        <w:autoSpaceDE w:val="0"/>
        <w:autoSpaceDN w:val="0"/>
        <w:adjustRightInd w:val="0"/>
        <w:spacing w:before="120" w:line="240" w:lineRule="auto"/>
        <w:ind w:left="714" w:hanging="357"/>
        <w:contextualSpacing/>
        <w:textAlignment w:val="center"/>
        <w:rPr>
          <w:rFonts w:ascii="Calibri" w:eastAsia="MS Mincho" w:hAnsi="Calibri" w:cs="Arial"/>
          <w:color w:val="000000"/>
          <w:szCs w:val="20"/>
          <w:lang w:val="en-GB"/>
        </w:rPr>
      </w:pPr>
      <w:r w:rsidRPr="00A743D3">
        <w:rPr>
          <w:rFonts w:ascii="Calibri" w:eastAsia="MS Mincho" w:hAnsi="Calibri" w:cs="Arial"/>
          <w:color w:val="000000"/>
          <w:szCs w:val="20"/>
          <w:lang w:val="en-GB"/>
        </w:rPr>
        <w:t>How do I evoke young learner’s interests and experiences, orienting them towards the staging of an event?</w:t>
      </w:r>
    </w:p>
    <w:p w:rsidR="00A743D3" w:rsidRPr="00A743D3" w:rsidRDefault="00A743D3" w:rsidP="00415176">
      <w:pPr>
        <w:widowControl w:val="0"/>
        <w:numPr>
          <w:ilvl w:val="0"/>
          <w:numId w:val="5"/>
        </w:numPr>
        <w:suppressAutoHyphens/>
        <w:autoSpaceDE w:val="0"/>
        <w:autoSpaceDN w:val="0"/>
        <w:adjustRightInd w:val="0"/>
        <w:spacing w:before="120" w:line="240" w:lineRule="auto"/>
        <w:ind w:left="714" w:hanging="357"/>
        <w:contextualSpacing/>
        <w:textAlignment w:val="center"/>
        <w:rPr>
          <w:rFonts w:ascii="Calibri" w:eastAsia="MS Mincho" w:hAnsi="Calibri" w:cs="Arial"/>
          <w:color w:val="000000"/>
          <w:szCs w:val="20"/>
          <w:lang w:val="en-GB"/>
        </w:rPr>
      </w:pPr>
      <w:r w:rsidRPr="00A743D3">
        <w:rPr>
          <w:rFonts w:ascii="Calibri" w:eastAsia="MS Mincho" w:hAnsi="Calibri" w:cs="Arial"/>
          <w:color w:val="000000"/>
          <w:szCs w:val="20"/>
          <w:lang w:val="en-GB"/>
        </w:rPr>
        <w:t xml:space="preserve"> Are there opportunities for guided planning, preparation, rehearsal and enacting events? </w:t>
      </w:r>
    </w:p>
    <w:p w:rsidR="00A743D3" w:rsidRPr="00A743D3" w:rsidRDefault="00A743D3" w:rsidP="00415176">
      <w:pPr>
        <w:widowControl w:val="0"/>
        <w:numPr>
          <w:ilvl w:val="0"/>
          <w:numId w:val="5"/>
        </w:numPr>
        <w:suppressAutoHyphens/>
        <w:autoSpaceDE w:val="0"/>
        <w:autoSpaceDN w:val="0"/>
        <w:adjustRightInd w:val="0"/>
        <w:spacing w:before="120" w:line="240" w:lineRule="auto"/>
        <w:ind w:left="714" w:hanging="357"/>
        <w:contextualSpacing/>
        <w:textAlignment w:val="center"/>
        <w:rPr>
          <w:rFonts w:ascii="Calibri" w:eastAsia="MS Mincho" w:hAnsi="Calibri" w:cs="Arial"/>
          <w:color w:val="000000"/>
          <w:szCs w:val="20"/>
          <w:lang w:val="en-GB"/>
        </w:rPr>
      </w:pPr>
      <w:r w:rsidRPr="00A743D3">
        <w:rPr>
          <w:rFonts w:ascii="Calibri" w:eastAsia="MS Mincho" w:hAnsi="Calibri" w:cs="Arial"/>
          <w:color w:val="000000"/>
          <w:szCs w:val="20"/>
          <w:lang w:val="en-GB"/>
        </w:rPr>
        <w:t>How is agency promoted? (</w:t>
      </w:r>
      <w:proofErr w:type="gramStart"/>
      <w:r w:rsidRPr="00A743D3">
        <w:rPr>
          <w:rFonts w:ascii="Calibri" w:eastAsia="MS Mincho" w:hAnsi="Calibri" w:cs="Arial"/>
          <w:color w:val="000000"/>
          <w:szCs w:val="20"/>
          <w:lang w:val="en-GB"/>
        </w:rPr>
        <w:t>how</w:t>
      </w:r>
      <w:proofErr w:type="gramEnd"/>
      <w:r w:rsidRPr="00A743D3">
        <w:rPr>
          <w:rFonts w:ascii="Calibri" w:eastAsia="MS Mincho" w:hAnsi="Calibri" w:cs="Arial"/>
          <w:color w:val="000000"/>
          <w:szCs w:val="20"/>
          <w:lang w:val="en-GB"/>
        </w:rPr>
        <w:t xml:space="preserve"> are young learners’ ideas and thoughts included in classroom decision-making)? </w:t>
      </w:r>
    </w:p>
    <w:p w:rsidR="00A743D3" w:rsidRPr="00A743D3" w:rsidRDefault="00A743D3" w:rsidP="00415176">
      <w:pPr>
        <w:widowControl w:val="0"/>
        <w:numPr>
          <w:ilvl w:val="0"/>
          <w:numId w:val="5"/>
        </w:numPr>
        <w:suppressAutoHyphens/>
        <w:autoSpaceDE w:val="0"/>
        <w:autoSpaceDN w:val="0"/>
        <w:adjustRightInd w:val="0"/>
        <w:spacing w:before="120" w:line="240" w:lineRule="auto"/>
        <w:ind w:left="714" w:hanging="357"/>
        <w:contextualSpacing/>
        <w:textAlignment w:val="center"/>
        <w:rPr>
          <w:rFonts w:ascii="Calibri" w:eastAsia="MS Mincho" w:hAnsi="Calibri" w:cs="Arial"/>
          <w:color w:val="000000"/>
          <w:szCs w:val="20"/>
          <w:lang w:val="en-GB"/>
        </w:rPr>
      </w:pPr>
      <w:r w:rsidRPr="00A743D3">
        <w:rPr>
          <w:rFonts w:ascii="Calibri" w:eastAsia="MS Mincho" w:hAnsi="Calibri" w:cs="Arial"/>
          <w:color w:val="000000"/>
          <w:szCs w:val="20"/>
          <w:lang w:val="en-GB"/>
        </w:rPr>
        <w:t xml:space="preserve">How do I explicitly teach and model the required skills of cooperation and collaboration? </w:t>
      </w:r>
    </w:p>
    <w:p w:rsidR="00A743D3" w:rsidRPr="00A743D3" w:rsidRDefault="00A743D3" w:rsidP="00415176">
      <w:pPr>
        <w:widowControl w:val="0"/>
        <w:numPr>
          <w:ilvl w:val="0"/>
          <w:numId w:val="5"/>
        </w:numPr>
        <w:suppressAutoHyphens/>
        <w:autoSpaceDE w:val="0"/>
        <w:autoSpaceDN w:val="0"/>
        <w:adjustRightInd w:val="0"/>
        <w:spacing w:before="120" w:line="240" w:lineRule="auto"/>
        <w:ind w:left="714" w:hanging="357"/>
        <w:contextualSpacing/>
        <w:textAlignment w:val="center"/>
        <w:rPr>
          <w:rFonts w:ascii="Calibri" w:eastAsia="MS Mincho" w:hAnsi="Calibri" w:cs="Arial"/>
          <w:color w:val="000000"/>
          <w:szCs w:val="20"/>
          <w:lang w:val="en-GB"/>
        </w:rPr>
      </w:pPr>
      <w:r w:rsidRPr="00A743D3">
        <w:rPr>
          <w:rFonts w:ascii="Calibri" w:eastAsia="MS Mincho" w:hAnsi="Calibri" w:cs="Arial"/>
          <w:color w:val="000000"/>
          <w:szCs w:val="20"/>
          <w:lang w:val="en-GB"/>
        </w:rPr>
        <w:t>In what ways does my planning demonstrate a strong understanding of the Australian Curriculum learning area/s and associated achievement standard/s that underpin this approach?</w:t>
      </w:r>
    </w:p>
    <w:sectPr w:rsidR="00A743D3" w:rsidRPr="00A743D3" w:rsidSect="000B38A9">
      <w:headerReference w:type="even" r:id="rId11"/>
      <w:headerReference w:type="default" r:id="rId12"/>
      <w:footerReference w:type="default" r:id="rId13"/>
      <w:headerReference w:type="first" r:id="rId14"/>
      <w:pgSz w:w="11900" w:h="16840"/>
      <w:pgMar w:top="2268" w:right="2098" w:bottom="1418" w:left="20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F88" w:rsidRDefault="009C2F88" w:rsidP="00190C24">
      <w:r>
        <w:separator/>
      </w:r>
    </w:p>
  </w:endnote>
  <w:endnote w:type="continuationSeparator" w:id="0">
    <w:p w:rsidR="009C2F88" w:rsidRDefault="009C2F88"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MV Boli"/>
    <w:panose1 w:val="00000000000000000000"/>
    <w:charset w:val="00"/>
    <w:family w:val="roman"/>
    <w:notTrueType/>
    <w:pitch w:val="default"/>
  </w:font>
  <w:font w:name="DengXian">
    <w:altName w:val="等线"/>
    <w:panose1 w:val="02010600030101010101"/>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SimSun">
    <w:altName w:val="????¡§???"/>
    <w:panose1 w:val="02010600030101010101"/>
    <w:charset w:val="86"/>
    <w:family w:val="auto"/>
    <w:pitch w:val="variable"/>
    <w:sig w:usb0="00000003" w:usb1="288F0000" w:usb2="00000016" w:usb3="00000000" w:csb0="00040001" w:csb1="00000000"/>
  </w:font>
  <w:font w:name="HelveticaNeueLTStd-Md">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290115"/>
      <w:docPartObj>
        <w:docPartGallery w:val="Page Numbers (Bottom of Page)"/>
        <w:docPartUnique/>
      </w:docPartObj>
    </w:sdtPr>
    <w:sdtEndPr>
      <w:rPr>
        <w:noProof/>
      </w:rPr>
    </w:sdtEndPr>
    <w:sdtContent>
      <w:p w:rsidR="00A743D3" w:rsidRDefault="00A743D3">
        <w:pPr>
          <w:pStyle w:val="Footer"/>
          <w:jc w:val="right"/>
        </w:pPr>
        <w:r>
          <w:fldChar w:fldCharType="begin"/>
        </w:r>
        <w:r>
          <w:instrText xml:space="preserve"> PAGE   \* MERGEFORMAT </w:instrText>
        </w:r>
        <w:r>
          <w:fldChar w:fldCharType="separate"/>
        </w:r>
        <w:r w:rsidR="00415176">
          <w:rPr>
            <w:noProof/>
          </w:rPr>
          <w:t>3</w:t>
        </w:r>
        <w:r>
          <w:rPr>
            <w:noProof/>
          </w:rPr>
          <w:fldChar w:fldCharType="end"/>
        </w:r>
      </w:p>
    </w:sdtContent>
  </w:sdt>
  <w:p w:rsidR="002712BD" w:rsidRDefault="0027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F88" w:rsidRDefault="009C2F88" w:rsidP="00190C24">
      <w:r>
        <w:separator/>
      </w:r>
    </w:p>
  </w:footnote>
  <w:footnote w:type="continuationSeparator" w:id="0">
    <w:p w:rsidR="009C2F88" w:rsidRDefault="009C2F88"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A9" w:rsidRDefault="00000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CD2" w:rsidRDefault="00D01CD2" w:rsidP="00190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4A9" w:rsidRDefault="00000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1EE046F"/>
    <w:multiLevelType w:val="hybridMultilevel"/>
    <w:tmpl w:val="0018E760"/>
    <w:lvl w:ilvl="0" w:tplc="CCF8DF58">
      <w:start w:val="1"/>
      <w:numFmt w:val="bullet"/>
      <w:lvlText w:val=""/>
      <w:lvlJc w:val="left"/>
      <w:pPr>
        <w:ind w:left="363" w:hanging="360"/>
      </w:pPr>
      <w:rPr>
        <w:rFonts w:ascii="Symbol" w:hAnsi="Symbol" w:hint="default"/>
        <w:color w:val="auto"/>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 w15:restartNumberingAfterBreak="0">
    <w:nsid w:val="3E9F0AFA"/>
    <w:multiLevelType w:val="hybridMultilevel"/>
    <w:tmpl w:val="77D80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75CA08A0"/>
    <w:multiLevelType w:val="hybridMultilevel"/>
    <w:tmpl w:val="496C4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88"/>
    <w:rsid w:val="000004A9"/>
    <w:rsid w:val="0002155B"/>
    <w:rsid w:val="000425F7"/>
    <w:rsid w:val="000436FC"/>
    <w:rsid w:val="000B38A9"/>
    <w:rsid w:val="000B61AC"/>
    <w:rsid w:val="000F7FDE"/>
    <w:rsid w:val="00190C24"/>
    <w:rsid w:val="002371F7"/>
    <w:rsid w:val="002712BD"/>
    <w:rsid w:val="002B691D"/>
    <w:rsid w:val="002C3128"/>
    <w:rsid w:val="002F64B2"/>
    <w:rsid w:val="002F78A2"/>
    <w:rsid w:val="00385A56"/>
    <w:rsid w:val="00387C64"/>
    <w:rsid w:val="003F643A"/>
    <w:rsid w:val="00404BCA"/>
    <w:rsid w:val="00415176"/>
    <w:rsid w:val="005F4331"/>
    <w:rsid w:val="005F4517"/>
    <w:rsid w:val="00622ADD"/>
    <w:rsid w:val="006239A5"/>
    <w:rsid w:val="00636B71"/>
    <w:rsid w:val="00697DAC"/>
    <w:rsid w:val="006C3D8E"/>
    <w:rsid w:val="007A156C"/>
    <w:rsid w:val="007B53D1"/>
    <w:rsid w:val="0080579A"/>
    <w:rsid w:val="008C1B23"/>
    <w:rsid w:val="00907963"/>
    <w:rsid w:val="0096078C"/>
    <w:rsid w:val="0096595E"/>
    <w:rsid w:val="009B6A49"/>
    <w:rsid w:val="009B7893"/>
    <w:rsid w:val="009C2F88"/>
    <w:rsid w:val="009E5EE5"/>
    <w:rsid w:val="009F02B3"/>
    <w:rsid w:val="00A47F67"/>
    <w:rsid w:val="00A65710"/>
    <w:rsid w:val="00A743D3"/>
    <w:rsid w:val="00AB0A25"/>
    <w:rsid w:val="00AC555D"/>
    <w:rsid w:val="00AD2501"/>
    <w:rsid w:val="00B33337"/>
    <w:rsid w:val="00B8699D"/>
    <w:rsid w:val="00B9771E"/>
    <w:rsid w:val="00BA32ED"/>
    <w:rsid w:val="00BC4AA9"/>
    <w:rsid w:val="00C0519D"/>
    <w:rsid w:val="00CB07AD"/>
    <w:rsid w:val="00CD793C"/>
    <w:rsid w:val="00D01CD2"/>
    <w:rsid w:val="00D75050"/>
    <w:rsid w:val="00D842DF"/>
    <w:rsid w:val="00DC5E03"/>
    <w:rsid w:val="00E46BE8"/>
    <w:rsid w:val="00EF474F"/>
    <w:rsid w:val="00EF4AC5"/>
    <w:rsid w:val="00F01391"/>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E2B2CF"/>
  <w15:docId w15:val="{C76839F8-56E9-4C97-9633-15827E76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customStyle="1" w:styleId="LightList-Accent61">
    <w:name w:val="Light List - Accent 61"/>
    <w:basedOn w:val="TableNormal"/>
    <w:next w:val="LightList-Accent6"/>
    <w:uiPriority w:val="71"/>
    <w:rsid w:val="00A743D3"/>
    <w:rPr>
      <w:rFonts w:ascii="Cambria" w:eastAsia="MS Mincho" w:hAnsi="Cambria" w:cs="Times New Roman"/>
      <w:sz w:val="20"/>
      <w:szCs w:val="20"/>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61"/>
    <w:rsid w:val="00A743D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MediumShading1-Accent31">
    <w:name w:val="Medium Shading 1 - Accent 31"/>
    <w:basedOn w:val="TableNormal"/>
    <w:next w:val="MediumShading1-Accent3"/>
    <w:uiPriority w:val="73"/>
    <w:rsid w:val="00A743D3"/>
    <w:rPr>
      <w:rFonts w:ascii="Cambria" w:eastAsia="MS Mincho" w:hAnsi="Cambria" w:cs="Times New Roman"/>
      <w:sz w:val="20"/>
      <w:szCs w:val="20"/>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743D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ran3\Downloads\ecce-a4-page-portrait-option-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687c0ba5-25f6-467d-a8e9-4285ca7a69ae">
      <UserInfo>
        <DisplayName/>
        <AccountId xsi:nil="true"/>
        <AccountType/>
      </UserInfo>
    </PPContentApprover>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SubmittedBy xmlns="687c0ba5-25f6-467d-a8e9-4285ca7a69ae">
      <UserInfo>
        <DisplayName>BEHREND, Kasia</DisplayName>
        <AccountId>20</AccountId>
        <AccountType/>
      </UserInfo>
    </PPSubmittedBy>
    <PPReferenceNumber xmlns="687c0ba5-25f6-467d-a8e9-4285ca7a69ae" xsi:nil="true"/>
    <PPModeratedDate xmlns="687c0ba5-25f6-467d-a8e9-4285ca7a69ae">2023-08-10T23:38:07+00:00</PPModeratedDate>
    <PPLastReviewedDate xmlns="687c0ba5-25f6-467d-a8e9-4285ca7a69ae">2023-08-10T23:38:08+00:00</PPLastReviewedDate>
    <PPContentAuthor xmlns="687c0ba5-25f6-467d-a8e9-4285ca7a69ae">
      <UserInfo>
        <DisplayName>System Account</DisplayName>
        <AccountId>1073741823</AccountId>
        <AccountType/>
      </UserInfo>
    </PPContentAuthor>
    <PPContentOwner xmlns="687c0ba5-25f6-467d-a8e9-4285ca7a69ae">
      <UserInfo>
        <DisplayName/>
        <AccountId xsi:nil="true"/>
        <AccountType/>
      </UserInfo>
    </PPContentOwner>
    <PPSubmittedDate xmlns="687c0ba5-25f6-467d-a8e9-4285ca7a69ae">2023-08-10T23:37:33+00:00</PPSubmittedDate>
    <PPPublishedNotificationAddresses xmlns="687c0ba5-25f6-467d-a8e9-4285ca7a69ae" xsi:nil="true"/>
    <PPReviewDate xmlns="687c0ba5-25f6-467d-a8e9-4285ca7a69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5C630-6914-486A-B134-803E4BA628E3}"/>
</file>

<file path=customXml/itemProps2.xml><?xml version="1.0" encoding="utf-8"?>
<ds:datastoreItem xmlns:ds="http://schemas.openxmlformats.org/officeDocument/2006/customXml" ds:itemID="{24B4C812-2C43-4DC8-B193-9004E33B2F67}"/>
</file>

<file path=customXml/itemProps3.xml><?xml version="1.0" encoding="utf-8"?>
<ds:datastoreItem xmlns:ds="http://schemas.openxmlformats.org/officeDocument/2006/customXml" ds:itemID="{DDCA628D-37D3-4479-9DA8-36DF607F3023}"/>
</file>

<file path=customXml/itemProps4.xml><?xml version="1.0" encoding="utf-8"?>
<ds:datastoreItem xmlns:ds="http://schemas.openxmlformats.org/officeDocument/2006/customXml" ds:itemID="{D86CBC7B-D2E6-4687-8768-63A36604B69B}"/>
</file>

<file path=docProps/app.xml><?xml version="1.0" encoding="utf-8"?>
<Properties xmlns="http://schemas.openxmlformats.org/officeDocument/2006/extended-properties" xmlns:vt="http://schemas.openxmlformats.org/officeDocument/2006/docPropsVTypes">
  <Template>ecce-a4-page-portrait-option-1 (2).dotx</Template>
  <TotalTime>53</TotalTime>
  <Pages>4</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Early Childhood and Community Engagement A4 page portrait - Option 1</vt:lpstr>
    </vt:vector>
  </TitlesOfParts>
  <Company>Queensland Government</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Approaches of age-appropriate pedagogies in action: event-based approach</dc:title>
  <dc:creator>GRANT, Sandra</dc:creator>
  <cp:keywords>Early Childhood and Community Engagement A4 page portrait - Option 1; ecec msword;</cp:keywords>
  <cp:lastModifiedBy>COOPER, Mark</cp:lastModifiedBy>
  <cp:revision>5</cp:revision>
  <cp:lastPrinted>2018-01-16T02:55:00Z</cp:lastPrinted>
  <dcterms:created xsi:type="dcterms:W3CDTF">2019-01-10T02:38:00Z</dcterms:created>
  <dcterms:modified xsi:type="dcterms:W3CDTF">2019-01-11T02:07:00Z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y fmtid="{D5CDD505-2E9C-101B-9397-08002B2CF9AE}" pid="3" name="URL">
    <vt:lpwstr/>
  </property>
</Properties>
</file>