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A3" w:rsidRPr="00A91552" w:rsidRDefault="00F375A3" w:rsidP="00F375A3">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F375A3" w:rsidRDefault="00F375A3" w:rsidP="00F375A3">
      <w:pPr>
        <w:keepNext/>
        <w:keepLines/>
        <w:spacing w:after="0"/>
        <w:outlineLvl w:val="0"/>
        <w:rPr>
          <w:rFonts w:asciiTheme="majorHAnsi" w:eastAsiaTheme="majorEastAsia" w:hAnsiTheme="majorHAnsi" w:cs="Times New Roman"/>
          <w:b/>
          <w:bCs/>
          <w:color w:val="365F91" w:themeColor="accent1" w:themeShade="BF"/>
          <w:sz w:val="28"/>
          <w:szCs w:val="28"/>
        </w:rPr>
      </w:pPr>
    </w:p>
    <w:p w:rsidR="00F375A3" w:rsidRDefault="00F375A3" w:rsidP="00F375A3">
      <w:pPr>
        <w:keepNext/>
        <w:keepLines/>
        <w:spacing w:after="0"/>
        <w:outlineLvl w:val="0"/>
        <w:rPr>
          <w:rFonts w:asciiTheme="majorHAnsi" w:eastAsiaTheme="majorEastAsia" w:hAnsiTheme="majorHAnsi" w:cs="Times New Roman"/>
          <w:b/>
          <w:bCs/>
          <w:color w:val="365F91" w:themeColor="accent1" w:themeShade="BF"/>
          <w:sz w:val="28"/>
          <w:szCs w:val="28"/>
        </w:rPr>
      </w:pPr>
      <w:r w:rsidRPr="00F375A3">
        <w:rPr>
          <w:rFonts w:asciiTheme="majorHAnsi" w:eastAsiaTheme="majorEastAsia" w:hAnsiTheme="majorHAnsi" w:cs="Times New Roman"/>
          <w:b/>
          <w:bCs/>
          <w:color w:val="365F91" w:themeColor="accent1" w:themeShade="BF"/>
          <w:sz w:val="28"/>
          <w:szCs w:val="28"/>
        </w:rPr>
        <w:t>Creative</w:t>
      </w:r>
    </w:p>
    <w:p w:rsidR="00F375A3" w:rsidRDefault="00F375A3" w:rsidP="00F375A3">
      <w:pPr>
        <w:keepNext/>
        <w:keepLines/>
        <w:spacing w:before="200" w:after="0"/>
        <w:outlineLvl w:val="2"/>
        <w:rPr>
          <w:rFonts w:asciiTheme="majorHAnsi" w:eastAsiaTheme="majorEastAsia" w:hAnsiTheme="majorHAnsi" w:cs="Times New Roman"/>
          <w:b/>
          <w:bCs/>
          <w:color w:val="365F91" w:themeColor="accent1" w:themeShade="BF"/>
        </w:rPr>
      </w:pPr>
      <w:proofErr w:type="gramStart"/>
      <w:r w:rsidRPr="00F375A3">
        <w:rPr>
          <w:rFonts w:asciiTheme="majorHAnsi" w:eastAsiaTheme="majorEastAsia" w:hAnsiTheme="majorHAnsi" w:cs="Times New Roman"/>
          <w:b/>
          <w:bCs/>
          <w:color w:val="365F91" w:themeColor="accent1" w:themeShade="BF"/>
        </w:rPr>
        <w:t>Inviting children to consider ‘what if?’</w:t>
      </w:r>
      <w:proofErr w:type="gramEnd"/>
      <w:r w:rsidRPr="00F375A3">
        <w:rPr>
          <w:rFonts w:asciiTheme="majorHAnsi" w:eastAsiaTheme="majorEastAsia" w:hAnsiTheme="majorHAnsi" w:cs="Times New Roman"/>
          <w:b/>
          <w:bCs/>
          <w:color w:val="365F91" w:themeColor="accent1" w:themeShade="BF"/>
        </w:rPr>
        <w:t xml:space="preserve"> They encourage investigation, inquiry and artistry to explore new possibilities and ways of thinking.</w:t>
      </w:r>
    </w:p>
    <w:p w:rsidR="00F375A3" w:rsidRDefault="00F375A3" w:rsidP="00F375A3">
      <w:pPr>
        <w:autoSpaceDE w:val="0"/>
        <w:autoSpaceDN w:val="0"/>
        <w:adjustRightInd w:val="0"/>
        <w:spacing w:after="0" w:line="240" w:lineRule="auto"/>
        <w:rPr>
          <w:rFonts w:ascii="MetaNormalLF-Roman" w:hAnsi="MetaNormalLF-Roman" w:cs="MetaNormalLF-Roman"/>
          <w:sz w:val="19"/>
          <w:szCs w:val="19"/>
        </w:rPr>
      </w:pPr>
    </w:p>
    <w:p w:rsidR="00F375A3" w:rsidRPr="005913FE" w:rsidRDefault="00F375A3" w:rsidP="00F375A3">
      <w:pPr>
        <w:autoSpaceDE w:val="0"/>
        <w:autoSpaceDN w:val="0"/>
        <w:adjustRightInd w:val="0"/>
        <w:spacing w:after="0" w:line="240" w:lineRule="auto"/>
        <w:rPr>
          <w:rFonts w:cs="MetaNormalLF-Roman"/>
        </w:rPr>
      </w:pPr>
      <w:r w:rsidRPr="005913FE">
        <w:rPr>
          <w:rFonts w:cs="MetaNormalLF-Roman"/>
        </w:rPr>
        <w:t>Establishing a culture of creative inquiry is founded in an atmosphere of encouragement, and acceptance of young learners’ ideas and contributions. Creative classrooms are characterised by shared adult-child decision-making, collaboration and willingness to test out ideas. Developing creative thinking is supported through processes that require young learners to articulate their ideas, to think about a problem from more than one perspective, to hypothesise and test out solutions, and to evaluate working theories.</w:t>
      </w:r>
    </w:p>
    <w:p w:rsidR="00F375A3" w:rsidRDefault="00F375A3" w:rsidP="00F375A3">
      <w:pPr>
        <w:autoSpaceDE w:val="0"/>
        <w:autoSpaceDN w:val="0"/>
        <w:adjustRightInd w:val="0"/>
        <w:spacing w:after="0" w:line="240" w:lineRule="auto"/>
        <w:rPr>
          <w:rFonts w:ascii="MetaNormalLF-Roman" w:hAnsi="MetaNormalLF-Roman" w:cs="MetaNormalLF-Roman"/>
          <w:sz w:val="19"/>
          <w:szCs w:val="19"/>
        </w:rPr>
      </w:pPr>
    </w:p>
    <w:p w:rsidR="00F375A3" w:rsidRDefault="00F375A3" w:rsidP="00F375A3">
      <w:pPr>
        <w:autoSpaceDE w:val="0"/>
        <w:autoSpaceDN w:val="0"/>
        <w:adjustRightInd w:val="0"/>
        <w:spacing w:after="0" w:line="240" w:lineRule="auto"/>
        <w:rPr>
          <w:rFonts w:asciiTheme="majorHAnsi" w:eastAsiaTheme="majorEastAsia" w:hAnsiTheme="majorHAnsi" w:cs="Times New Roman"/>
          <w:b/>
          <w:bCs/>
          <w:color w:val="365F91" w:themeColor="accent1" w:themeShade="BF"/>
        </w:rPr>
      </w:pPr>
      <w:r w:rsidRPr="005913FE">
        <w:rPr>
          <w:rFonts w:asciiTheme="majorHAnsi" w:eastAsiaTheme="majorEastAsia" w:hAnsiTheme="majorHAnsi" w:cs="Times New Roman"/>
          <w:b/>
          <w:bCs/>
          <w:color w:val="365F91" w:themeColor="accent1" w:themeShade="BF"/>
        </w:rPr>
        <w:t>Practices that support creative thinking</w:t>
      </w:r>
    </w:p>
    <w:p w:rsidR="005913FE" w:rsidRDefault="005913FE" w:rsidP="00F375A3">
      <w:pPr>
        <w:autoSpaceDE w:val="0"/>
        <w:autoSpaceDN w:val="0"/>
        <w:adjustRightInd w:val="0"/>
        <w:spacing w:after="0" w:line="240" w:lineRule="auto"/>
        <w:rPr>
          <w:rFonts w:asciiTheme="majorHAnsi" w:eastAsiaTheme="majorEastAsia" w:hAnsiTheme="majorHAnsi" w:cs="Times New Roman"/>
          <w:b/>
          <w:bCs/>
          <w:color w:val="365F91" w:themeColor="accent1" w:themeShade="BF"/>
        </w:rPr>
      </w:pPr>
    </w:p>
    <w:p w:rsidR="00855D40" w:rsidRDefault="005913FE" w:rsidP="00855D40">
      <w:pPr>
        <w:keepNext/>
        <w:keepLines/>
        <w:numPr>
          <w:ilvl w:val="0"/>
          <w:numId w:val="2"/>
        </w:numPr>
        <w:spacing w:before="200" w:after="0"/>
        <w:outlineLvl w:val="2"/>
        <w:rPr>
          <w:rFonts w:cs="Times New Roman"/>
        </w:rPr>
      </w:pPr>
      <w:bookmarkStart w:id="0" w:name="_GoBack"/>
      <w:r w:rsidRPr="00855D40">
        <w:rPr>
          <w:rFonts w:cs="Times New Roman"/>
        </w:rPr>
        <w:t>Creating a culture of in</w:t>
      </w:r>
      <w:r w:rsidR="00855D40" w:rsidRPr="00855D40">
        <w:rPr>
          <w:rFonts w:cs="Times New Roman"/>
        </w:rPr>
        <w:t xml:space="preserve">quiry involves </w:t>
      </w:r>
      <w:r w:rsidR="00855D40" w:rsidRPr="00855D40">
        <w:rPr>
          <w:rFonts w:cs="Times New Roman"/>
        </w:rPr>
        <w:t>explicitly teaching cooperative behaviours that support creative thinking, for example, how to work as a team and accept different points of view</w:t>
      </w:r>
    </w:p>
    <w:p w:rsidR="00855D40" w:rsidRDefault="00855D40" w:rsidP="00855D40">
      <w:pPr>
        <w:autoSpaceDE w:val="0"/>
        <w:autoSpaceDN w:val="0"/>
        <w:adjustRightInd w:val="0"/>
        <w:spacing w:after="0" w:line="240" w:lineRule="auto"/>
        <w:rPr>
          <w:rFonts w:cs="Times New Roman"/>
        </w:rPr>
      </w:pPr>
    </w:p>
    <w:p w:rsidR="00855D40" w:rsidRPr="00855D40" w:rsidRDefault="00855D40" w:rsidP="00855D40">
      <w:pPr>
        <w:keepNext/>
        <w:keepLines/>
        <w:numPr>
          <w:ilvl w:val="0"/>
          <w:numId w:val="2"/>
        </w:numPr>
        <w:spacing w:before="200" w:after="0"/>
        <w:outlineLvl w:val="2"/>
        <w:rPr>
          <w:rFonts w:cs="Times New Roman"/>
        </w:rPr>
      </w:pPr>
      <w:proofErr w:type="gramStart"/>
      <w:r w:rsidRPr="00855D40">
        <w:rPr>
          <w:rFonts w:cs="Times New Roman"/>
        </w:rPr>
        <w:t>modelling</w:t>
      </w:r>
      <w:proofErr w:type="gramEnd"/>
      <w:r w:rsidRPr="00855D40">
        <w:rPr>
          <w:rFonts w:cs="Times New Roman"/>
        </w:rPr>
        <w:t xml:space="preserve"> a range of think-aloud strategies for example, ‘When I have lots of things to bring to  school I make a list to remind me.’</w:t>
      </w:r>
    </w:p>
    <w:p w:rsidR="00855D40" w:rsidRDefault="00855D40" w:rsidP="00855D40">
      <w:pPr>
        <w:keepNext/>
        <w:keepLines/>
        <w:numPr>
          <w:ilvl w:val="0"/>
          <w:numId w:val="2"/>
        </w:numPr>
        <w:spacing w:before="200" w:after="0"/>
        <w:outlineLvl w:val="2"/>
        <w:rPr>
          <w:rFonts w:cs="Times New Roman"/>
        </w:rPr>
      </w:pPr>
      <w:r w:rsidRPr="00855D40">
        <w:rPr>
          <w:rFonts w:cs="Times New Roman"/>
        </w:rPr>
        <w:t>encouraging young learners to raise questions and record them on a class ‘What if?’ chart</w:t>
      </w:r>
    </w:p>
    <w:bookmarkEnd w:id="0"/>
    <w:p w:rsidR="00855D40" w:rsidRPr="00855D40" w:rsidRDefault="00855D40" w:rsidP="00855D40">
      <w:pPr>
        <w:keepNext/>
        <w:keepLines/>
        <w:numPr>
          <w:ilvl w:val="0"/>
          <w:numId w:val="2"/>
        </w:numPr>
        <w:spacing w:before="200" w:after="0"/>
        <w:outlineLvl w:val="2"/>
        <w:rPr>
          <w:rFonts w:cs="Times New Roman"/>
        </w:rPr>
      </w:pPr>
      <w:r w:rsidRPr="00855D40">
        <w:rPr>
          <w:rFonts w:cs="Times New Roman"/>
        </w:rPr>
        <w:t>posing open ended questions</w:t>
      </w:r>
    </w:p>
    <w:p w:rsidR="00855D40" w:rsidRPr="00855D40" w:rsidRDefault="00855D40" w:rsidP="00855D40">
      <w:pPr>
        <w:keepNext/>
        <w:keepLines/>
        <w:spacing w:before="200" w:after="0"/>
        <w:ind w:left="720"/>
        <w:outlineLvl w:val="2"/>
        <w:rPr>
          <w:rFonts w:cs="Times New Roman"/>
        </w:rPr>
      </w:pPr>
      <w:r w:rsidRPr="00855D40">
        <w:rPr>
          <w:rFonts w:cs="Times New Roman"/>
        </w:rPr>
        <w:t>-  I wonder what might happen if?</w:t>
      </w:r>
    </w:p>
    <w:p w:rsidR="00855D40" w:rsidRPr="00855D40" w:rsidRDefault="00855D40" w:rsidP="00855D40">
      <w:pPr>
        <w:keepNext/>
        <w:keepLines/>
        <w:spacing w:before="200" w:after="0"/>
        <w:ind w:left="720"/>
        <w:outlineLvl w:val="2"/>
        <w:rPr>
          <w:rFonts w:cs="Times New Roman"/>
        </w:rPr>
      </w:pPr>
      <w:r w:rsidRPr="00855D40">
        <w:rPr>
          <w:rFonts w:cs="Times New Roman"/>
        </w:rPr>
        <w:t>-  What’s another way we could solve that problem?</w:t>
      </w:r>
    </w:p>
    <w:p w:rsidR="00855D40" w:rsidRPr="00855D40" w:rsidRDefault="00855D40" w:rsidP="00855D40">
      <w:pPr>
        <w:keepNext/>
        <w:keepLines/>
        <w:spacing w:before="200" w:after="0"/>
        <w:ind w:left="720"/>
        <w:outlineLvl w:val="2"/>
        <w:rPr>
          <w:rFonts w:cs="Times New Roman"/>
        </w:rPr>
      </w:pPr>
      <w:r w:rsidRPr="00855D40">
        <w:rPr>
          <w:rFonts w:cs="Times New Roman"/>
        </w:rPr>
        <w:t>-  How did you…?</w:t>
      </w:r>
    </w:p>
    <w:p w:rsidR="00855D40" w:rsidRPr="00855D40" w:rsidRDefault="00855D40" w:rsidP="00855D40">
      <w:pPr>
        <w:keepNext/>
        <w:keepLines/>
        <w:numPr>
          <w:ilvl w:val="0"/>
          <w:numId w:val="2"/>
        </w:numPr>
        <w:spacing w:before="200" w:after="0"/>
        <w:outlineLvl w:val="2"/>
        <w:rPr>
          <w:rFonts w:cs="Times New Roman"/>
        </w:rPr>
      </w:pPr>
      <w:proofErr w:type="gramStart"/>
      <w:r w:rsidRPr="00855D40">
        <w:rPr>
          <w:rFonts w:cs="Times New Roman"/>
        </w:rPr>
        <w:t>showing</w:t>
      </w:r>
      <w:proofErr w:type="gramEnd"/>
      <w:r w:rsidRPr="00855D40">
        <w:rPr>
          <w:rFonts w:cs="Times New Roman"/>
        </w:rPr>
        <w:t xml:space="preserve"> genuine interest in young learners’ ideas through adult responses and actions involving</w:t>
      </w:r>
      <w:r>
        <w:rPr>
          <w:rFonts w:cs="Times New Roman"/>
        </w:rPr>
        <w:t xml:space="preserve"> </w:t>
      </w:r>
      <w:r w:rsidRPr="00855D40">
        <w:rPr>
          <w:rFonts w:cs="Times New Roman"/>
        </w:rPr>
        <w:t>young learners in classroom decision-making, for example, planning seating arrangements, the location of resources and use of space</w:t>
      </w:r>
      <w:r>
        <w:rPr>
          <w:rFonts w:cs="Times New Roman"/>
        </w:rPr>
        <w:t>.</w:t>
      </w:r>
    </w:p>
    <w:p w:rsidR="00855D40" w:rsidRPr="00855D40" w:rsidRDefault="00855D40" w:rsidP="00855D40">
      <w:pPr>
        <w:keepNext/>
        <w:keepLines/>
        <w:numPr>
          <w:ilvl w:val="0"/>
          <w:numId w:val="2"/>
        </w:numPr>
        <w:spacing w:before="200" w:after="0"/>
        <w:outlineLvl w:val="2"/>
        <w:rPr>
          <w:rFonts w:cs="Times New Roman"/>
        </w:rPr>
      </w:pPr>
      <w:proofErr w:type="gramStart"/>
      <w:r w:rsidRPr="00855D40">
        <w:rPr>
          <w:rFonts w:cs="Times New Roman"/>
        </w:rPr>
        <w:t>promoting</w:t>
      </w:r>
      <w:proofErr w:type="gramEnd"/>
      <w:r w:rsidRPr="00855D40">
        <w:rPr>
          <w:rFonts w:cs="Times New Roman"/>
        </w:rPr>
        <w:t xml:space="preserve"> an inclusive classroom climate where contributions are accepted and valued through verbal and non-verbal communications</w:t>
      </w:r>
      <w:r>
        <w:rPr>
          <w:rFonts w:cs="Times New Roman"/>
        </w:rPr>
        <w:t xml:space="preserve"> </w:t>
      </w:r>
      <w:r w:rsidRPr="00855D40">
        <w:rPr>
          <w:rFonts w:cs="Times New Roman"/>
        </w:rPr>
        <w:t>providing space and time for young learners to develop ideas (maintaining flexibility with the</w:t>
      </w:r>
      <w:r>
        <w:rPr>
          <w:rFonts w:cs="Times New Roman"/>
        </w:rPr>
        <w:t xml:space="preserve"> </w:t>
      </w:r>
      <w:r w:rsidRPr="00855D40">
        <w:rPr>
          <w:rFonts w:cs="Times New Roman"/>
        </w:rPr>
        <w:t>classroom timetable)</w:t>
      </w:r>
      <w:r>
        <w:rPr>
          <w:rFonts w:cs="Times New Roman"/>
        </w:rPr>
        <w:t>.</w:t>
      </w:r>
    </w:p>
    <w:p w:rsidR="00855D40" w:rsidRPr="00855D40" w:rsidRDefault="00855D40" w:rsidP="00855D40">
      <w:pPr>
        <w:keepNext/>
        <w:keepLines/>
        <w:numPr>
          <w:ilvl w:val="0"/>
          <w:numId w:val="2"/>
        </w:numPr>
        <w:spacing w:before="200" w:after="0"/>
        <w:outlineLvl w:val="2"/>
        <w:rPr>
          <w:rFonts w:cs="Times New Roman"/>
        </w:rPr>
      </w:pPr>
      <w:proofErr w:type="gramStart"/>
      <w:r w:rsidRPr="00855D40">
        <w:rPr>
          <w:rFonts w:cs="Times New Roman"/>
        </w:rPr>
        <w:t>offering</w:t>
      </w:r>
      <w:proofErr w:type="gramEnd"/>
      <w:r w:rsidRPr="00855D40">
        <w:rPr>
          <w:rFonts w:cs="Times New Roman"/>
        </w:rPr>
        <w:t xml:space="preserve"> supportive feedback when young learners are engaged in creative experiences by focusing on the observed behaviour. For example, ‘I noticed that when you were planning the design for your bridge, you talked together, took turns to draw the plan and worked as a team.’</w:t>
      </w:r>
    </w:p>
    <w:p w:rsidR="00855D40" w:rsidRPr="00855D40" w:rsidRDefault="00855D40" w:rsidP="00855D40">
      <w:pPr>
        <w:autoSpaceDE w:val="0"/>
        <w:autoSpaceDN w:val="0"/>
        <w:adjustRightInd w:val="0"/>
        <w:spacing w:after="0" w:line="240" w:lineRule="auto"/>
        <w:rPr>
          <w:rFonts w:cs="MetaMediumLF-Italic"/>
          <w:iCs/>
        </w:rPr>
      </w:pPr>
    </w:p>
    <w:p w:rsidR="00855D40" w:rsidRDefault="00855D40" w:rsidP="00855D40">
      <w:pPr>
        <w:keepNext/>
        <w:keepLines/>
        <w:numPr>
          <w:ilvl w:val="0"/>
          <w:numId w:val="2"/>
        </w:numPr>
        <w:spacing w:before="200" w:after="0"/>
        <w:outlineLvl w:val="2"/>
        <w:rPr>
          <w:rFonts w:cs="Times New Roman"/>
        </w:rPr>
      </w:pPr>
      <w:proofErr w:type="gramStart"/>
      <w:r w:rsidRPr="00855D40">
        <w:rPr>
          <w:rFonts w:cs="Times New Roman"/>
        </w:rPr>
        <w:lastRenderedPageBreak/>
        <w:t>providing</w:t>
      </w:r>
      <w:proofErr w:type="gramEnd"/>
      <w:r w:rsidRPr="00855D40">
        <w:rPr>
          <w:rFonts w:cs="Times New Roman"/>
        </w:rPr>
        <w:t xml:space="preserve"> open-ended resources to support young learners’ creative thinking and constructions.</w:t>
      </w:r>
    </w:p>
    <w:p w:rsidR="00855D40" w:rsidRPr="00855D40" w:rsidRDefault="00855D40" w:rsidP="00855D40">
      <w:pPr>
        <w:keepNext/>
        <w:keepLines/>
        <w:spacing w:before="200" w:after="0"/>
        <w:outlineLvl w:val="2"/>
        <w:rPr>
          <w:rFonts w:cs="Times New Roman"/>
        </w:rPr>
      </w:pPr>
    </w:p>
    <w:p w:rsidR="00855D40" w:rsidRDefault="00855D40" w:rsidP="00855D40">
      <w:pPr>
        <w:autoSpaceDE w:val="0"/>
        <w:autoSpaceDN w:val="0"/>
        <w:adjustRightInd w:val="0"/>
        <w:spacing w:after="0" w:line="240" w:lineRule="auto"/>
        <w:rPr>
          <w:rFonts w:asciiTheme="majorHAnsi" w:eastAsiaTheme="majorEastAsia" w:hAnsiTheme="majorHAnsi" w:cs="Times New Roman"/>
          <w:b/>
          <w:bCs/>
          <w:color w:val="365F91" w:themeColor="accent1" w:themeShade="BF"/>
        </w:rPr>
      </w:pPr>
      <w:r w:rsidRPr="00625E58">
        <w:rPr>
          <w:rFonts w:asciiTheme="majorHAnsi" w:eastAsiaTheme="majorEastAsia" w:hAnsiTheme="majorHAnsi" w:cs="Times New Roman"/>
          <w:b/>
          <w:bCs/>
          <w:color w:val="365F91" w:themeColor="accent1" w:themeShade="BF"/>
        </w:rPr>
        <w:t>Creativity across the curriculum</w:t>
      </w:r>
    </w:p>
    <w:p w:rsidR="00855D40" w:rsidRDefault="00855D40" w:rsidP="00855D40">
      <w:pPr>
        <w:autoSpaceDE w:val="0"/>
        <w:autoSpaceDN w:val="0"/>
        <w:adjustRightInd w:val="0"/>
        <w:spacing w:after="0" w:line="240" w:lineRule="auto"/>
        <w:rPr>
          <w:rFonts w:cs="MetaNormalLF-Roman"/>
        </w:rPr>
      </w:pPr>
      <w:r w:rsidRPr="00625E58">
        <w:rPr>
          <w:rFonts w:cs="MetaNormalLF-Roman"/>
        </w:rPr>
        <w:t>The expression of creative thinking is a process that is not restricted to the arts. It is a way of thinking that extends across all aspects of the curriculum. Knowledge of young learners’ interests, curiosities and learning styles, combined with curriculum content knowledge, helps teachers to work from a position of confidence where it is easier to take advantage of spontaneous learning opportunities as they arise.</w:t>
      </w:r>
    </w:p>
    <w:p w:rsidR="00855D40" w:rsidRDefault="00855D40" w:rsidP="00855D40">
      <w:pPr>
        <w:autoSpaceDE w:val="0"/>
        <w:autoSpaceDN w:val="0"/>
        <w:adjustRightInd w:val="0"/>
        <w:spacing w:after="0" w:line="240" w:lineRule="auto"/>
        <w:rPr>
          <w:rFonts w:cs="MetaNormalLF-Roman"/>
        </w:rPr>
      </w:pPr>
    </w:p>
    <w:p w:rsidR="00855D40" w:rsidRDefault="00855D40" w:rsidP="00855D40">
      <w:pPr>
        <w:autoSpaceDE w:val="0"/>
        <w:autoSpaceDN w:val="0"/>
        <w:adjustRightInd w:val="0"/>
        <w:spacing w:after="0" w:line="240" w:lineRule="auto"/>
        <w:rPr>
          <w:rFonts w:ascii="MetaMediumLF-Roman" w:hAnsi="MetaMediumLF-Roman" w:cs="MetaMediumLF-Roman"/>
          <w:color w:val="005AAA"/>
          <w:sz w:val="30"/>
          <w:szCs w:val="30"/>
        </w:rPr>
      </w:pPr>
      <w:r w:rsidRPr="00625E58">
        <w:rPr>
          <w:rFonts w:asciiTheme="majorHAnsi" w:eastAsiaTheme="majorEastAsia" w:hAnsiTheme="majorHAnsi" w:cs="Times New Roman"/>
          <w:b/>
          <w:bCs/>
          <w:color w:val="365F91" w:themeColor="accent1" w:themeShade="BF"/>
        </w:rPr>
        <w:t>Reflective questions</w:t>
      </w:r>
    </w:p>
    <w:p w:rsidR="00855D40" w:rsidRPr="00855D40" w:rsidRDefault="00855D40" w:rsidP="00855D40">
      <w:pPr>
        <w:keepNext/>
        <w:keepLines/>
        <w:numPr>
          <w:ilvl w:val="0"/>
          <w:numId w:val="2"/>
        </w:numPr>
        <w:spacing w:before="200" w:after="0"/>
        <w:outlineLvl w:val="2"/>
        <w:rPr>
          <w:rFonts w:cs="Times New Roman"/>
        </w:rPr>
      </w:pPr>
      <w:r>
        <w:rPr>
          <w:rFonts w:ascii="MetaNormalLF-Roman" w:hAnsi="MetaNormalLF-Roman" w:cs="MetaNormalLF-Roman"/>
          <w:color w:val="000000"/>
          <w:sz w:val="14"/>
          <w:szCs w:val="14"/>
        </w:rPr>
        <w:t xml:space="preserve"> </w:t>
      </w:r>
      <w:r w:rsidRPr="00855D40">
        <w:rPr>
          <w:rFonts w:cs="Times New Roman"/>
        </w:rPr>
        <w:t>How is creative thinking supported in everyday classroom practices?</w:t>
      </w:r>
    </w:p>
    <w:p w:rsidR="00855D40" w:rsidRPr="00855D40" w:rsidRDefault="00855D40" w:rsidP="00855D40">
      <w:pPr>
        <w:keepNext/>
        <w:keepLines/>
        <w:numPr>
          <w:ilvl w:val="0"/>
          <w:numId w:val="2"/>
        </w:numPr>
        <w:spacing w:before="200" w:after="0"/>
        <w:outlineLvl w:val="2"/>
        <w:rPr>
          <w:rFonts w:cs="Times New Roman"/>
        </w:rPr>
      </w:pPr>
      <w:r w:rsidRPr="00855D40">
        <w:rPr>
          <w:rFonts w:cs="Times New Roman"/>
        </w:rPr>
        <w:t>How is creative thinking embedded across the curriculum?</w:t>
      </w:r>
    </w:p>
    <w:p w:rsidR="00855D40" w:rsidRDefault="00855D40" w:rsidP="00855D40">
      <w:pPr>
        <w:keepNext/>
        <w:keepLines/>
        <w:numPr>
          <w:ilvl w:val="0"/>
          <w:numId w:val="2"/>
        </w:numPr>
        <w:spacing w:before="200" w:after="0"/>
        <w:outlineLvl w:val="2"/>
        <w:rPr>
          <w:rFonts w:cs="Times New Roman"/>
        </w:rPr>
      </w:pPr>
      <w:r w:rsidRPr="00855D40">
        <w:rPr>
          <w:rFonts w:cs="Times New Roman"/>
        </w:rPr>
        <w:t>Are there particular forms of creative thinking that are actively supported?</w:t>
      </w:r>
    </w:p>
    <w:p w:rsidR="00855D40" w:rsidRPr="00855D40" w:rsidRDefault="00855D40" w:rsidP="00855D40">
      <w:pPr>
        <w:keepNext/>
        <w:keepLines/>
        <w:spacing w:before="200" w:after="0"/>
        <w:ind w:left="720"/>
        <w:outlineLvl w:val="2"/>
        <w:rPr>
          <w:rFonts w:cs="Times New Roman"/>
        </w:rPr>
      </w:pPr>
    </w:p>
    <w:p w:rsidR="00855D40" w:rsidRDefault="00855D40" w:rsidP="00855D40">
      <w:pPr>
        <w:autoSpaceDE w:val="0"/>
        <w:autoSpaceDN w:val="0"/>
        <w:adjustRightInd w:val="0"/>
        <w:spacing w:after="0" w:line="240" w:lineRule="auto"/>
        <w:rPr>
          <w:rFonts w:cs="MetaNormalLF-Italic"/>
          <w:iCs/>
        </w:rPr>
      </w:pPr>
      <w:r w:rsidRPr="00625E58">
        <w:rPr>
          <w:rFonts w:cs="MetaNormalLF-Italic"/>
          <w:iCs/>
        </w:rPr>
        <w:t>‘Creativity requires that students be allowed to express their thoughts and ideas in a warm and open atmosphere. Teachers should encourage their students to play with ideas, laugh and have fun…’1</w:t>
      </w:r>
    </w:p>
    <w:p w:rsidR="00855D40" w:rsidRDefault="00855D40" w:rsidP="00855D40">
      <w:pPr>
        <w:autoSpaceDE w:val="0"/>
        <w:autoSpaceDN w:val="0"/>
        <w:adjustRightInd w:val="0"/>
        <w:spacing w:after="0" w:line="240" w:lineRule="auto"/>
        <w:rPr>
          <w:rFonts w:cs="MetaNormalLF-Italic"/>
          <w:iCs/>
        </w:rPr>
      </w:pPr>
    </w:p>
    <w:p w:rsidR="00855D40" w:rsidRPr="00855D40" w:rsidRDefault="00855D40" w:rsidP="00855D40">
      <w:pPr>
        <w:pStyle w:val="ListParagraph"/>
        <w:numPr>
          <w:ilvl w:val="0"/>
          <w:numId w:val="3"/>
        </w:numPr>
        <w:autoSpaceDE w:val="0"/>
        <w:autoSpaceDN w:val="0"/>
        <w:adjustRightInd w:val="0"/>
        <w:spacing w:after="0" w:line="240" w:lineRule="auto"/>
        <w:rPr>
          <w:rFonts w:cs="MetaNormalLF-Roman"/>
        </w:rPr>
      </w:pPr>
      <w:proofErr w:type="spellStart"/>
      <w:r w:rsidRPr="00855D40">
        <w:rPr>
          <w:rFonts w:cs="MetaNormalLF-Roman"/>
        </w:rPr>
        <w:t>Renzulli</w:t>
      </w:r>
      <w:proofErr w:type="spellEnd"/>
      <w:r w:rsidRPr="00855D40">
        <w:rPr>
          <w:rFonts w:cs="MetaNormalLF-Roman"/>
        </w:rPr>
        <w:t xml:space="preserve">, J. (2016). Developing Creativity Across All Areas of the Curriculum. In R. </w:t>
      </w:r>
      <w:proofErr w:type="spellStart"/>
      <w:r w:rsidRPr="00855D40">
        <w:rPr>
          <w:rFonts w:cs="MetaNormalLF-Roman"/>
        </w:rPr>
        <w:t>Beghetto</w:t>
      </w:r>
      <w:proofErr w:type="spellEnd"/>
      <w:r w:rsidRPr="00855D40">
        <w:rPr>
          <w:rFonts w:cs="MetaNormalLF-Roman"/>
        </w:rPr>
        <w:t xml:space="preserve"> &amp; J. Kaufman (Eds.), </w:t>
      </w:r>
      <w:r w:rsidRPr="00855D40">
        <w:rPr>
          <w:rFonts w:cs="MetaNormalLF-Italic"/>
          <w:i/>
          <w:iCs/>
        </w:rPr>
        <w:t>Nurturing Creativity</w:t>
      </w:r>
      <w:r w:rsidRPr="00855D40">
        <w:rPr>
          <w:rFonts w:cs="MetaNormalLF-Roman"/>
        </w:rPr>
        <w:t xml:space="preserve"> </w:t>
      </w:r>
      <w:r w:rsidRPr="00855D40">
        <w:rPr>
          <w:rFonts w:cs="MetaNormalLF-Italic"/>
          <w:i/>
          <w:iCs/>
        </w:rPr>
        <w:t xml:space="preserve">in the Classroom </w:t>
      </w:r>
      <w:r w:rsidRPr="00855D40">
        <w:rPr>
          <w:rFonts w:cs="MetaNormalLF-Roman"/>
        </w:rPr>
        <w:t xml:space="preserve">(Current Perspectives in Social and </w:t>
      </w:r>
      <w:proofErr w:type="spellStart"/>
      <w:r w:rsidRPr="00855D40">
        <w:rPr>
          <w:rFonts w:cs="MetaNormalLF-Roman"/>
        </w:rPr>
        <w:t>Behavioral</w:t>
      </w:r>
      <w:proofErr w:type="spellEnd"/>
      <w:r w:rsidRPr="00855D40">
        <w:rPr>
          <w:rFonts w:cs="MetaNormalLF-Roman"/>
        </w:rPr>
        <w:t xml:space="preserve"> Sciences, pp. 23-44). </w:t>
      </w:r>
      <w:r>
        <w:rPr>
          <w:rFonts w:cs="MetaNormalLF-Roman"/>
        </w:rPr>
        <w:t xml:space="preserve">Cambridge: Cambridge University </w:t>
      </w:r>
      <w:r w:rsidRPr="00855D40">
        <w:rPr>
          <w:rFonts w:cs="MetaNormalLF-Roman"/>
        </w:rPr>
        <w:t>Press.</w:t>
      </w:r>
      <w:r>
        <w:rPr>
          <w:rFonts w:cs="MetaNormalLF-Roman"/>
        </w:rPr>
        <w:t xml:space="preserve"> </w:t>
      </w:r>
      <w:r w:rsidRPr="00855D40">
        <w:rPr>
          <w:rFonts w:cs="MetaNormalLF-Roman"/>
        </w:rPr>
        <w:t>doi:10.1017/9781316212899.006</w:t>
      </w: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Default="00855D40" w:rsidP="00855D40">
      <w:pPr>
        <w:keepNext/>
        <w:keepLines/>
        <w:spacing w:before="200" w:after="0"/>
        <w:ind w:left="720"/>
        <w:outlineLvl w:val="2"/>
        <w:rPr>
          <w:rFonts w:cs="Times New Roman"/>
        </w:rPr>
      </w:pPr>
    </w:p>
    <w:p w:rsidR="00855D40" w:rsidRPr="00855D40" w:rsidRDefault="00855D40" w:rsidP="00855D40">
      <w:pPr>
        <w:keepNext/>
        <w:keepLines/>
        <w:spacing w:before="200" w:after="0"/>
        <w:ind w:left="720"/>
        <w:outlineLvl w:val="2"/>
        <w:rPr>
          <w:rFonts w:cs="Times New Roman"/>
        </w:rPr>
      </w:pPr>
    </w:p>
    <w:sectPr w:rsidR="00855D40" w:rsidRPr="00855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NormalLF-Roman">
    <w:panose1 w:val="00000000000000000000"/>
    <w:charset w:val="00"/>
    <w:family w:val="swiss"/>
    <w:notTrueType/>
    <w:pitch w:val="default"/>
    <w:sig w:usb0="00000003" w:usb1="00000000" w:usb2="00000000" w:usb3="00000000" w:csb0="00000001" w:csb1="00000000"/>
  </w:font>
  <w:font w:name="MetaMediumLF-Italic">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MetaNormalLF-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5F6B"/>
    <w:multiLevelType w:val="hybridMultilevel"/>
    <w:tmpl w:val="F6EC84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33C3987"/>
    <w:multiLevelType w:val="hybridMultilevel"/>
    <w:tmpl w:val="B400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7C104C"/>
    <w:multiLevelType w:val="hybridMultilevel"/>
    <w:tmpl w:val="EC565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0E"/>
    <w:rsid w:val="000909FA"/>
    <w:rsid w:val="00110C25"/>
    <w:rsid w:val="005913FE"/>
    <w:rsid w:val="00625E58"/>
    <w:rsid w:val="00855D40"/>
    <w:rsid w:val="0088097D"/>
    <w:rsid w:val="00A06A0E"/>
    <w:rsid w:val="00A46855"/>
    <w:rsid w:val="00F375A3"/>
    <w:rsid w:val="00F719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2023-08-11T00:10:42+00:00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2023-08-11T00:10:42+00:00</PPLastReviewedDate>
    <PPSubmittedDate xmlns="687c0ba5-25f6-467d-a8e9-4285ca7a69ae">2023-08-11T00:09:44+00:00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9CA5B-2C58-4D0A-ABA8-E1328A9873CD}"/>
</file>

<file path=customXml/itemProps2.xml><?xml version="1.0" encoding="utf-8"?>
<ds:datastoreItem xmlns:ds="http://schemas.openxmlformats.org/officeDocument/2006/customXml" ds:itemID="{47EB0B76-043E-44B6-A7BF-1EF7B24B8D81}"/>
</file>

<file path=customXml/itemProps3.xml><?xml version="1.0" encoding="utf-8"?>
<ds:datastoreItem xmlns:ds="http://schemas.openxmlformats.org/officeDocument/2006/customXml" ds:itemID="{72685FF0-BB1E-4799-97B1-67F4F567BD4D}"/>
</file>

<file path=docProps/app.xml><?xml version="1.0" encoding="utf-8"?>
<Properties xmlns="http://schemas.openxmlformats.org/officeDocument/2006/extended-properties" xmlns:vt="http://schemas.openxmlformats.org/officeDocument/2006/docPropsVTypes">
  <Template>7785AC4E.dotm</Template>
  <TotalTime>60</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Creative</dc:title>
  <dc:subject/>
  <dc:creator>GRANT, Sandra</dc:creator>
  <cp:keywords/>
  <dc:description/>
  <cp:lastModifiedBy>GRANT, Sandra</cp:lastModifiedBy>
  <cp:revision>5</cp:revision>
  <dcterms:created xsi:type="dcterms:W3CDTF">2017-11-17T01:58:00Z</dcterms:created>
  <dcterms:modified xsi:type="dcterms:W3CDTF">2017-11-21T00:04:00Z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