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8FF" w:rsidRPr="00C032D6" w:rsidRDefault="00F318FF" w:rsidP="00F318FF">
      <w:pPr>
        <w:spacing w:before="480" w:after="120"/>
        <w:outlineLvl w:val="0"/>
        <w:rPr>
          <w:rFonts w:eastAsiaTheme="majorEastAsia" w:cs="Times New Roman"/>
          <w:b/>
          <w:bCs/>
          <w:color w:val="345A8A" w:themeColor="accent1" w:themeShade="B5"/>
          <w:sz w:val="32"/>
          <w:szCs w:val="32"/>
          <w:lang w:val="en-US" w:eastAsia="en-US"/>
        </w:rPr>
      </w:pPr>
      <w:r w:rsidRPr="00C032D6">
        <w:rPr>
          <w:rFonts w:eastAsiaTheme="majorEastAsia" w:cs="Times New Roman"/>
          <w:b/>
          <w:bCs/>
          <w:color w:val="345A8A" w:themeColor="accent1" w:themeShade="B5"/>
          <w:sz w:val="32"/>
          <w:szCs w:val="32"/>
          <w:lang w:val="en-US" w:eastAsia="en-US"/>
        </w:rPr>
        <w:t>Age-appropriate pedagogies for the early years of schooling</w:t>
      </w:r>
    </w:p>
    <w:p w:rsidR="00F318FF" w:rsidRPr="00F318FF" w:rsidRDefault="00F318FF" w:rsidP="00F318FF">
      <w:pPr>
        <w:spacing w:before="480" w:after="120"/>
        <w:outlineLvl w:val="0"/>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t xml:space="preserve">Posters </w:t>
      </w:r>
      <w:r>
        <w:rPr>
          <w:rFonts w:eastAsiaTheme="majorEastAsia" w:cs="Times New Roman"/>
          <w:b/>
          <w:bCs/>
          <w:color w:val="345A8A" w:themeColor="accent1" w:themeShade="B5"/>
          <w:sz w:val="32"/>
          <w:szCs w:val="32"/>
          <w:lang w:val="en-US" w:eastAsia="en-US"/>
        </w:rPr>
        <w:t xml:space="preserve">describing </w:t>
      </w:r>
      <w:r w:rsidR="008D52C3">
        <w:rPr>
          <w:rFonts w:eastAsiaTheme="majorEastAsia" w:cs="Times New Roman"/>
          <w:b/>
          <w:bCs/>
          <w:color w:val="345A8A" w:themeColor="accent1" w:themeShade="B5"/>
          <w:sz w:val="32"/>
          <w:szCs w:val="32"/>
          <w:lang w:val="en-US" w:eastAsia="en-US"/>
        </w:rPr>
        <w:t>the characteristics of age-appropriate pedagogies</w:t>
      </w:r>
      <w:r>
        <w:rPr>
          <w:rFonts w:eastAsiaTheme="majorEastAsia" w:cs="Times New Roman"/>
          <w:b/>
          <w:bCs/>
          <w:color w:val="345A8A" w:themeColor="accent1" w:themeShade="B5"/>
          <w:sz w:val="32"/>
          <w:szCs w:val="32"/>
          <w:lang w:val="en-US" w:eastAsia="en-US"/>
        </w:rPr>
        <w:t xml:space="preserve"> in the early years</w:t>
      </w:r>
    </w:p>
    <w:p w:rsidR="00F318FF" w:rsidRDefault="00F318FF">
      <w:pPr>
        <w:spacing w:line="276" w:lineRule="auto"/>
      </w:pPr>
      <w:r>
        <w:br w:type="page"/>
      </w:r>
    </w:p>
    <w:p w:rsidR="00A049BD" w:rsidRPr="00F318FF" w:rsidRDefault="00E1322B" w:rsidP="00F318FF">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1</w:t>
      </w:r>
    </w:p>
    <w:p w:rsidR="00E1322B" w:rsidRPr="00F318FF" w:rsidRDefault="00E1322B" w:rsidP="00F318FF">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t>Age-appropriate pedagogies</w:t>
      </w:r>
    </w:p>
    <w:p w:rsidR="00E1322B" w:rsidRPr="00F318FF" w:rsidRDefault="008D52C3" w:rsidP="00F318FF">
      <w:pPr>
        <w:spacing w:before="480" w:after="120"/>
        <w:outlineLvl w:val="0"/>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Characteristics</w:t>
      </w:r>
    </w:p>
    <w:p w:rsidR="00E1322B"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Active</w:t>
      </w:r>
    </w:p>
    <w:p w:rsidR="00E1322B"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Agentic</w:t>
      </w:r>
    </w:p>
    <w:p w:rsidR="00E1322B"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Collaborative</w:t>
      </w:r>
      <w:bookmarkStart w:id="0" w:name="_GoBack"/>
      <w:bookmarkEnd w:id="0"/>
    </w:p>
    <w:p w:rsidR="00E1322B"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Creative</w:t>
      </w:r>
    </w:p>
    <w:p w:rsidR="00E1322B"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Explicit</w:t>
      </w:r>
    </w:p>
    <w:p w:rsidR="00E1322B"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Language rich and dialogic</w:t>
      </w:r>
    </w:p>
    <w:p w:rsidR="00E1322B"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Learner focused</w:t>
      </w:r>
    </w:p>
    <w:p w:rsidR="008D52C3"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Narrative</w:t>
      </w:r>
    </w:p>
    <w:p w:rsidR="008D52C3"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Playful</w:t>
      </w:r>
    </w:p>
    <w:p w:rsidR="008D52C3"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Responsive</w:t>
      </w:r>
    </w:p>
    <w:p w:rsidR="008D52C3" w:rsidRPr="00F318FF" w:rsidRDefault="008D52C3" w:rsidP="008D52C3">
      <w:pPr>
        <w:pStyle w:val="ListParagraph"/>
        <w:numPr>
          <w:ilvl w:val="0"/>
          <w:numId w:val="1"/>
        </w:numPr>
        <w:tabs>
          <w:tab w:val="left" w:pos="221"/>
        </w:tabs>
        <w:spacing w:before="92"/>
        <w:rPr>
          <w:rFonts w:ascii="Arial" w:hAnsi="Arial" w:cs="Arial"/>
          <w:w w:val="92"/>
        </w:rPr>
      </w:pPr>
      <w:r>
        <w:rPr>
          <w:rFonts w:ascii="Arial" w:hAnsi="Arial" w:cs="Arial"/>
          <w:w w:val="92"/>
        </w:rPr>
        <w:t xml:space="preserve">Scaffolded </w:t>
      </w:r>
    </w:p>
    <w:p w:rsidR="00F318FF" w:rsidRDefault="00F318FF">
      <w:pPr>
        <w:spacing w:line="276" w:lineRule="auto"/>
      </w:pPr>
      <w:r>
        <w:br w:type="page"/>
      </w: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2</w:t>
      </w:r>
    </w:p>
    <w:p w:rsidR="00E1322B" w:rsidRPr="00F318FF" w:rsidRDefault="008D52C3" w:rsidP="00E1322B">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Active</w:t>
      </w:r>
    </w:p>
    <w:p w:rsidR="00E1322B" w:rsidRPr="00F318FF" w:rsidRDefault="00AD27CB" w:rsidP="00AD27CB">
      <w:pPr>
        <w:pStyle w:val="ListParagraph"/>
        <w:tabs>
          <w:tab w:val="left" w:pos="0"/>
        </w:tabs>
        <w:spacing w:before="92"/>
        <w:ind w:firstLine="20"/>
        <w:rPr>
          <w:rFonts w:ascii="Arial" w:hAnsi="Arial" w:cs="Arial"/>
          <w:w w:val="92"/>
        </w:rPr>
      </w:pPr>
      <w:r>
        <w:rPr>
          <w:rFonts w:ascii="Arial" w:hAnsi="Arial" w:cs="Arial"/>
          <w:w w:val="92"/>
        </w:rPr>
        <w:t>Requiring physical and embodied engagement across all areas of learning. Whether this is indoors or outdoors, activity is essential in order to activate children’s full potential.  Their focus, concentration, motivation and self-regulation are enhanced through moving, doing and interacting within a range of learning environments.</w:t>
      </w:r>
    </w:p>
    <w:p w:rsidR="00F318FF" w:rsidRDefault="00F318FF" w:rsidP="00AD27CB">
      <w:pPr>
        <w:tabs>
          <w:tab w:val="left" w:pos="0"/>
        </w:tabs>
        <w:spacing w:line="276" w:lineRule="auto"/>
        <w:ind w:firstLine="20"/>
      </w:pPr>
      <w:r>
        <w:br w:type="page"/>
      </w: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3</w:t>
      </w:r>
    </w:p>
    <w:p w:rsidR="00E1322B" w:rsidRPr="00F318FF" w:rsidRDefault="00AD27CB" w:rsidP="00E1322B">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Agentic</w:t>
      </w:r>
    </w:p>
    <w:p w:rsidR="00E1322B" w:rsidRPr="00F318FF" w:rsidRDefault="00AD27CB" w:rsidP="00F318FF">
      <w:pPr>
        <w:pStyle w:val="BodyText"/>
        <w:spacing w:before="75" w:line="276" w:lineRule="auto"/>
        <w:ind w:left="20" w:right="17" w:firstLine="0"/>
        <w:rPr>
          <w:rFonts w:ascii="Arial" w:hAnsi="Arial" w:cs="Arial"/>
          <w:spacing w:val="-2"/>
          <w:w w:val="87"/>
          <w:sz w:val="22"/>
          <w:szCs w:val="22"/>
        </w:rPr>
      </w:pPr>
      <w:r>
        <w:rPr>
          <w:rFonts w:ascii="Arial" w:hAnsi="Arial" w:cs="Arial"/>
          <w:spacing w:val="-2"/>
          <w:w w:val="87"/>
          <w:sz w:val="22"/>
          <w:szCs w:val="22"/>
        </w:rPr>
        <w:t>Ensuring that children have voice in their learning. Their ideas and interests initiate, support and extend learning possibilities in order to build on their real-world understandings and experiences.</w:t>
      </w:r>
    </w:p>
    <w:p w:rsidR="00F318FF" w:rsidRDefault="00F318FF">
      <w:pPr>
        <w:spacing w:line="276" w:lineRule="auto"/>
      </w:pPr>
      <w:r>
        <w:br w:type="page"/>
      </w: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4</w:t>
      </w:r>
    </w:p>
    <w:p w:rsidR="00E1322B" w:rsidRPr="00F318FF" w:rsidRDefault="00AD27CB" w:rsidP="00E1322B">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Collaborative</w:t>
      </w:r>
    </w:p>
    <w:p w:rsidR="00F318FF" w:rsidRDefault="00AD27CB">
      <w:pPr>
        <w:spacing w:line="276" w:lineRule="auto"/>
        <w:rPr>
          <w:rFonts w:ascii="Arial" w:eastAsia="Trebuchet MS" w:hAnsi="Arial" w:cs="Arial"/>
          <w:w w:val="99"/>
          <w:lang w:val="en-US" w:eastAsia="en-US"/>
        </w:rPr>
      </w:pPr>
      <w:proofErr w:type="gramStart"/>
      <w:r w:rsidRPr="00AD27CB">
        <w:rPr>
          <w:rFonts w:ascii="Arial" w:eastAsia="Trebuchet MS" w:hAnsi="Arial" w:cs="Arial"/>
          <w:w w:val="99"/>
          <w:lang w:val="en-US" w:eastAsia="en-US"/>
        </w:rPr>
        <w:t>Being social and co-constructed.</w:t>
      </w:r>
      <w:proofErr w:type="gramEnd"/>
      <w:r w:rsidRPr="00AD27CB">
        <w:rPr>
          <w:rFonts w:ascii="Arial" w:eastAsia="Trebuchet MS" w:hAnsi="Arial" w:cs="Arial"/>
          <w:w w:val="99"/>
          <w:lang w:val="en-US" w:eastAsia="en-US"/>
        </w:rPr>
        <w:t xml:space="preserve"> Children and educators work together to identify ways of learning and understanding through sustained, shared thinking and action.</w:t>
      </w: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Default="00AD27CB">
      <w:pPr>
        <w:spacing w:line="276" w:lineRule="auto"/>
        <w:rPr>
          <w:rFonts w:ascii="Arial" w:eastAsia="Trebuchet MS" w:hAnsi="Arial" w:cs="Arial"/>
          <w:w w:val="99"/>
          <w:lang w:val="en-US" w:eastAsia="en-US"/>
        </w:rPr>
      </w:pPr>
    </w:p>
    <w:p w:rsidR="00AD27CB" w:rsidRPr="00AD27CB" w:rsidRDefault="00AD27CB">
      <w:pPr>
        <w:spacing w:line="276" w:lineRule="auto"/>
        <w:rPr>
          <w:rFonts w:ascii="Arial" w:eastAsia="Trebuchet MS" w:hAnsi="Arial" w:cs="Arial"/>
          <w:w w:val="99"/>
          <w:lang w:val="en-US" w:eastAsia="en-US"/>
        </w:rPr>
      </w:pP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5</w:t>
      </w:r>
    </w:p>
    <w:p w:rsidR="00E1322B" w:rsidRPr="00F318FF" w:rsidRDefault="00AD27CB" w:rsidP="00E1322B">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Creative</w:t>
      </w:r>
    </w:p>
    <w:p w:rsidR="00F318FF" w:rsidRDefault="00AD27CB">
      <w:pPr>
        <w:spacing w:line="276" w:lineRule="auto"/>
      </w:pPr>
      <w:proofErr w:type="gramStart"/>
      <w:r>
        <w:rPr>
          <w:rFonts w:ascii="Arial" w:eastAsia="Trebuchet MS" w:hAnsi="Arial" w:cs="Arial"/>
          <w:w w:val="99"/>
          <w:lang w:val="en-US" w:eastAsia="en-US"/>
        </w:rPr>
        <w:t>Inviting children to consider “What if?”</w:t>
      </w:r>
      <w:proofErr w:type="gramEnd"/>
      <w:r>
        <w:rPr>
          <w:rFonts w:ascii="Arial" w:eastAsia="Trebuchet MS" w:hAnsi="Arial" w:cs="Arial"/>
          <w:w w:val="99"/>
          <w:lang w:val="en-US" w:eastAsia="en-US"/>
        </w:rPr>
        <w:t xml:space="preserve">  They encourage investigation, inquiry and artistry to explore new possibilities and ways of thinking.</w:t>
      </w: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AD27CB" w:rsidRDefault="00AD27CB" w:rsidP="00E1322B">
      <w:pPr>
        <w:rPr>
          <w:rFonts w:eastAsiaTheme="majorEastAsia" w:cs="Times New Roman"/>
          <w:b/>
          <w:bCs/>
          <w:color w:val="345A8A" w:themeColor="accent1" w:themeShade="B5"/>
          <w:sz w:val="32"/>
          <w:szCs w:val="32"/>
          <w:lang w:eastAsia="en-US"/>
        </w:rPr>
      </w:pP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6</w:t>
      </w:r>
    </w:p>
    <w:p w:rsidR="00E1322B" w:rsidRPr="00F318FF" w:rsidRDefault="00AD27CB" w:rsidP="00E1322B">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Explicit</w:t>
      </w:r>
    </w:p>
    <w:p w:rsidR="00E1322B" w:rsidRPr="00F318FF" w:rsidRDefault="00AD27CB" w:rsidP="00F318FF">
      <w:pPr>
        <w:pStyle w:val="BodyText"/>
        <w:spacing w:before="75" w:line="276" w:lineRule="auto"/>
        <w:ind w:left="20" w:right="17" w:firstLine="0"/>
        <w:rPr>
          <w:rFonts w:ascii="Arial" w:hAnsi="Arial" w:cs="Arial"/>
          <w:w w:val="90"/>
          <w:sz w:val="22"/>
          <w:szCs w:val="22"/>
        </w:rPr>
      </w:pPr>
      <w:r>
        <w:rPr>
          <w:rFonts w:ascii="Arial" w:hAnsi="Arial" w:cs="Arial"/>
          <w:w w:val="90"/>
          <w:sz w:val="22"/>
          <w:szCs w:val="22"/>
        </w:rPr>
        <w:t>Making conscious for both the learner and educator the relationships between the learning processes employed and the skills and understandings these processes support.</w:t>
      </w:r>
    </w:p>
    <w:p w:rsidR="00F318FF" w:rsidRDefault="00F318FF">
      <w:pPr>
        <w:spacing w:line="276" w:lineRule="auto"/>
      </w:pPr>
      <w:r>
        <w:br w:type="page"/>
      </w: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7</w:t>
      </w:r>
    </w:p>
    <w:p w:rsidR="00E1322B" w:rsidRPr="00F318FF" w:rsidRDefault="00AD27CB" w:rsidP="00E1322B">
      <w:pPr>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Language rich and dialogic</w:t>
      </w:r>
    </w:p>
    <w:p w:rsidR="00E1322B" w:rsidRPr="00F318FF" w:rsidRDefault="00AD27CB" w:rsidP="00E1322B">
      <w:pPr>
        <w:rPr>
          <w:rFonts w:ascii="Arial" w:eastAsia="Trebuchet MS" w:hAnsi="Arial" w:cs="Arial"/>
          <w:w w:val="99"/>
          <w:lang w:val="en-US" w:eastAsia="en-US"/>
        </w:rPr>
      </w:pPr>
      <w:r>
        <w:rPr>
          <w:rFonts w:ascii="Arial" w:eastAsia="Trebuchet MS" w:hAnsi="Arial" w:cs="Arial"/>
          <w:w w:val="99"/>
          <w:lang w:val="en-US" w:eastAsia="en-US"/>
        </w:rPr>
        <w:t>Ensuring that learning occurs in environments where rich language is modelled and employed by both children and educators.  Meaningful dialogues between children, as well as between children and educators, are created to support thinking, learning, engagement and imagination.</w:t>
      </w:r>
    </w:p>
    <w:p w:rsidR="00F318FF" w:rsidRDefault="00F318FF">
      <w:pPr>
        <w:spacing w:line="276" w:lineRule="auto"/>
      </w:pPr>
      <w:r>
        <w:br w:type="page"/>
      </w:r>
    </w:p>
    <w:p w:rsidR="00E1322B" w:rsidRPr="00F318FF" w:rsidRDefault="00E1322B" w:rsidP="00E1322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Poster 8</w:t>
      </w:r>
    </w:p>
    <w:p w:rsidR="00E1322B" w:rsidRPr="00F318FF" w:rsidRDefault="00AD27CB" w:rsidP="00E1322B">
      <w:pPr>
        <w:tabs>
          <w:tab w:val="left" w:pos="3360"/>
        </w:tabs>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Learner focused</w:t>
      </w:r>
    </w:p>
    <w:p w:rsidR="00F318FF" w:rsidRPr="00F318FF" w:rsidRDefault="00AD27CB" w:rsidP="00F318FF">
      <w:pPr>
        <w:pStyle w:val="BodyText"/>
        <w:spacing w:before="75" w:line="276" w:lineRule="auto"/>
        <w:ind w:left="20" w:right="17" w:firstLine="0"/>
        <w:rPr>
          <w:rFonts w:ascii="Arial" w:hAnsi="Arial" w:cs="Arial"/>
          <w:w w:val="95"/>
          <w:sz w:val="22"/>
          <w:szCs w:val="22"/>
        </w:rPr>
      </w:pPr>
      <w:r>
        <w:rPr>
          <w:rFonts w:ascii="Arial" w:hAnsi="Arial" w:cs="Arial"/>
          <w:w w:val="95"/>
          <w:sz w:val="22"/>
          <w:szCs w:val="22"/>
        </w:rPr>
        <w:t>Recognising that all children learn in different ways and that learning is a highly individual process.  They also acknowledge differences in children’s physical, intellectual, cultural, social and personal experiences and perspectives.</w:t>
      </w:r>
    </w:p>
    <w:p w:rsidR="00AD27CB" w:rsidRDefault="00AD27CB" w:rsidP="00E1322B">
      <w:pPr>
        <w:tabs>
          <w:tab w:val="left" w:pos="3360"/>
        </w:tabs>
      </w:pPr>
    </w:p>
    <w:p w:rsidR="00AD27CB" w:rsidRDefault="00AD27CB">
      <w:pPr>
        <w:spacing w:line="276" w:lineRule="auto"/>
      </w:pPr>
      <w:r>
        <w:br w:type="page"/>
      </w:r>
    </w:p>
    <w:p w:rsidR="00AD27CB" w:rsidRPr="00F318FF" w:rsidRDefault="00AD27CB" w:rsidP="00AD27C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 xml:space="preserve">Poster </w:t>
      </w:r>
      <w:r>
        <w:rPr>
          <w:rFonts w:eastAsiaTheme="majorEastAsia" w:cs="Times New Roman"/>
          <w:b/>
          <w:bCs/>
          <w:color w:val="345A8A" w:themeColor="accent1" w:themeShade="B5"/>
          <w:sz w:val="32"/>
          <w:szCs w:val="32"/>
          <w:lang w:val="en-US" w:eastAsia="en-US"/>
        </w:rPr>
        <w:t>9</w:t>
      </w:r>
    </w:p>
    <w:p w:rsidR="00AD27CB" w:rsidRPr="00F318FF" w:rsidRDefault="00AD27CB" w:rsidP="00AD27CB">
      <w:pPr>
        <w:tabs>
          <w:tab w:val="left" w:pos="3360"/>
        </w:tabs>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Narrative</w:t>
      </w:r>
    </w:p>
    <w:p w:rsidR="00AD27CB" w:rsidRPr="00F318FF" w:rsidRDefault="00AD27CB" w:rsidP="00AD27CB">
      <w:pPr>
        <w:pStyle w:val="BodyText"/>
        <w:spacing w:before="75" w:line="276" w:lineRule="auto"/>
        <w:ind w:left="20" w:right="17" w:firstLine="0"/>
        <w:rPr>
          <w:rFonts w:ascii="Arial" w:hAnsi="Arial" w:cs="Arial"/>
          <w:w w:val="95"/>
          <w:sz w:val="22"/>
          <w:szCs w:val="22"/>
        </w:rPr>
      </w:pPr>
      <w:proofErr w:type="gramStart"/>
      <w:r>
        <w:rPr>
          <w:rFonts w:ascii="Arial" w:hAnsi="Arial" w:cs="Arial"/>
          <w:w w:val="95"/>
          <w:sz w:val="22"/>
          <w:szCs w:val="22"/>
        </w:rPr>
        <w:t>Acknowledging the important role that personal, written, oral and digital stories play in all our lives.</w:t>
      </w:r>
      <w:proofErr w:type="gramEnd"/>
      <w:r>
        <w:rPr>
          <w:rFonts w:ascii="Arial" w:hAnsi="Arial" w:cs="Arial"/>
          <w:w w:val="95"/>
          <w:sz w:val="22"/>
          <w:szCs w:val="22"/>
        </w:rPr>
        <w:t xml:space="preserve">  They support both the production and comprehension of narratives through active process, especially play.</w:t>
      </w:r>
    </w:p>
    <w:p w:rsidR="00AD27CB" w:rsidRDefault="00AD27CB" w:rsidP="00E1322B">
      <w:pPr>
        <w:tabs>
          <w:tab w:val="left" w:pos="3360"/>
        </w:tabs>
        <w:rPr>
          <w:lang w:val="en-US"/>
        </w:rPr>
      </w:pPr>
    </w:p>
    <w:p w:rsidR="00AD27CB" w:rsidRDefault="00AD27CB">
      <w:pPr>
        <w:spacing w:line="276" w:lineRule="auto"/>
        <w:rPr>
          <w:lang w:val="en-US"/>
        </w:rPr>
      </w:pPr>
      <w:r>
        <w:rPr>
          <w:lang w:val="en-US"/>
        </w:rPr>
        <w:br w:type="page"/>
      </w:r>
    </w:p>
    <w:p w:rsidR="00AD27CB" w:rsidRPr="00F318FF" w:rsidRDefault="00AD27CB" w:rsidP="00AD27CB">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 xml:space="preserve">Poster </w:t>
      </w:r>
      <w:r>
        <w:rPr>
          <w:rFonts w:eastAsiaTheme="majorEastAsia" w:cs="Times New Roman"/>
          <w:b/>
          <w:bCs/>
          <w:color w:val="345A8A" w:themeColor="accent1" w:themeShade="B5"/>
          <w:sz w:val="32"/>
          <w:szCs w:val="32"/>
          <w:lang w:val="en-US" w:eastAsia="en-US"/>
        </w:rPr>
        <w:t>10</w:t>
      </w:r>
    </w:p>
    <w:p w:rsidR="00AD27CB" w:rsidRPr="00F318FF" w:rsidRDefault="00D81FE7" w:rsidP="00AD27CB">
      <w:pPr>
        <w:tabs>
          <w:tab w:val="left" w:pos="3360"/>
        </w:tabs>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Playful</w:t>
      </w:r>
    </w:p>
    <w:p w:rsidR="00AD27CB" w:rsidRPr="00F318FF" w:rsidRDefault="00AD27CB" w:rsidP="00AD27CB">
      <w:pPr>
        <w:pStyle w:val="BodyText"/>
        <w:spacing w:before="75" w:line="276" w:lineRule="auto"/>
        <w:ind w:left="20" w:right="17" w:firstLine="0"/>
        <w:rPr>
          <w:rFonts w:ascii="Arial" w:hAnsi="Arial" w:cs="Arial"/>
          <w:w w:val="95"/>
          <w:sz w:val="22"/>
          <w:szCs w:val="22"/>
        </w:rPr>
      </w:pPr>
      <w:proofErr w:type="gramStart"/>
      <w:r>
        <w:rPr>
          <w:rFonts w:ascii="Arial" w:hAnsi="Arial" w:cs="Arial"/>
          <w:w w:val="95"/>
          <w:sz w:val="22"/>
          <w:szCs w:val="22"/>
        </w:rPr>
        <w:t>Encouraging children to make connections through imagination and creativity to explore altern</w:t>
      </w:r>
      <w:r w:rsidR="00D81FE7">
        <w:rPr>
          <w:rFonts w:ascii="Arial" w:hAnsi="Arial" w:cs="Arial"/>
          <w:w w:val="95"/>
          <w:sz w:val="22"/>
          <w:szCs w:val="22"/>
        </w:rPr>
        <w:t>ate worlds and ways of thinking.</w:t>
      </w:r>
      <w:proofErr w:type="gramEnd"/>
      <w:r w:rsidR="00D81FE7">
        <w:rPr>
          <w:rFonts w:ascii="Arial" w:hAnsi="Arial" w:cs="Arial"/>
          <w:w w:val="95"/>
          <w:sz w:val="22"/>
          <w:szCs w:val="22"/>
        </w:rPr>
        <w:t xml:space="preserve"> These worlds, not bounded by reality, offer the freedom children need to innovate and enact new possibilities.</w:t>
      </w:r>
    </w:p>
    <w:p w:rsidR="00D81FE7" w:rsidRDefault="00D81FE7" w:rsidP="00E1322B">
      <w:pPr>
        <w:tabs>
          <w:tab w:val="left" w:pos="3360"/>
        </w:tabs>
        <w:rPr>
          <w:lang w:val="en-US"/>
        </w:rPr>
      </w:pPr>
    </w:p>
    <w:p w:rsidR="00D81FE7" w:rsidRDefault="00D81FE7">
      <w:pPr>
        <w:spacing w:line="276" w:lineRule="auto"/>
        <w:rPr>
          <w:lang w:val="en-US"/>
        </w:rPr>
      </w:pPr>
      <w:r>
        <w:rPr>
          <w:lang w:val="en-US"/>
        </w:rPr>
        <w:br w:type="page"/>
      </w:r>
    </w:p>
    <w:p w:rsidR="00D81FE7" w:rsidRPr="00F318FF" w:rsidRDefault="00D81FE7" w:rsidP="00D81FE7">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 xml:space="preserve">Poster </w:t>
      </w:r>
      <w:r>
        <w:rPr>
          <w:rFonts w:eastAsiaTheme="majorEastAsia" w:cs="Times New Roman"/>
          <w:b/>
          <w:bCs/>
          <w:color w:val="345A8A" w:themeColor="accent1" w:themeShade="B5"/>
          <w:sz w:val="32"/>
          <w:szCs w:val="32"/>
          <w:lang w:val="en-US" w:eastAsia="en-US"/>
        </w:rPr>
        <w:t>11</w:t>
      </w:r>
    </w:p>
    <w:p w:rsidR="00D81FE7" w:rsidRPr="00F318FF" w:rsidRDefault="00D81FE7" w:rsidP="00D81FE7">
      <w:pPr>
        <w:tabs>
          <w:tab w:val="left" w:pos="3360"/>
        </w:tabs>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Responsive</w:t>
      </w:r>
    </w:p>
    <w:p w:rsidR="00D81FE7" w:rsidRPr="00F318FF" w:rsidRDefault="00D81FE7" w:rsidP="00D81FE7">
      <w:pPr>
        <w:pStyle w:val="BodyText"/>
        <w:spacing w:before="75" w:line="276" w:lineRule="auto"/>
        <w:ind w:left="20" w:right="17" w:firstLine="0"/>
        <w:rPr>
          <w:rFonts w:ascii="Arial" w:hAnsi="Arial" w:cs="Arial"/>
          <w:w w:val="95"/>
          <w:sz w:val="22"/>
          <w:szCs w:val="22"/>
        </w:rPr>
      </w:pPr>
      <w:r>
        <w:rPr>
          <w:rFonts w:ascii="Arial" w:hAnsi="Arial" w:cs="Arial"/>
          <w:w w:val="95"/>
          <w:sz w:val="22"/>
          <w:szCs w:val="22"/>
        </w:rPr>
        <w:t>Incorporating a willingness to be flexible, to ensure that learning is always child, context, content and discipline appropriate.  To achieve this, educators will balance opportunities for structure and spontaneity, open-ended and specific task, and child-led and educator-led learning.</w:t>
      </w:r>
    </w:p>
    <w:p w:rsidR="00D81FE7" w:rsidRDefault="00D81FE7" w:rsidP="00E1322B">
      <w:pPr>
        <w:tabs>
          <w:tab w:val="left" w:pos="3360"/>
        </w:tabs>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Pr="00D81FE7" w:rsidRDefault="00D81FE7" w:rsidP="00D81FE7">
      <w:pPr>
        <w:rPr>
          <w:lang w:val="en-US"/>
        </w:rPr>
      </w:pPr>
    </w:p>
    <w:p w:rsidR="00D81FE7" w:rsidRDefault="00D81FE7" w:rsidP="00D81FE7">
      <w:pPr>
        <w:rPr>
          <w:lang w:val="en-US"/>
        </w:rPr>
      </w:pPr>
    </w:p>
    <w:p w:rsidR="00D81FE7" w:rsidRDefault="00D81FE7" w:rsidP="00D81FE7">
      <w:pPr>
        <w:tabs>
          <w:tab w:val="left" w:pos="1230"/>
        </w:tabs>
        <w:rPr>
          <w:lang w:val="en-US"/>
        </w:rPr>
      </w:pPr>
      <w:r>
        <w:rPr>
          <w:lang w:val="en-US"/>
        </w:rPr>
        <w:tab/>
      </w:r>
    </w:p>
    <w:p w:rsidR="00D81FE7" w:rsidRDefault="00D81FE7">
      <w:pPr>
        <w:spacing w:line="276" w:lineRule="auto"/>
        <w:rPr>
          <w:lang w:val="en-US"/>
        </w:rPr>
      </w:pPr>
      <w:r>
        <w:rPr>
          <w:lang w:val="en-US"/>
        </w:rPr>
        <w:br w:type="page"/>
      </w:r>
    </w:p>
    <w:p w:rsidR="00D81FE7" w:rsidRPr="00F318FF" w:rsidRDefault="00D81FE7" w:rsidP="00D81FE7">
      <w:pPr>
        <w:rPr>
          <w:rFonts w:eastAsiaTheme="majorEastAsia" w:cs="Times New Roman"/>
          <w:b/>
          <w:bCs/>
          <w:color w:val="345A8A" w:themeColor="accent1" w:themeShade="B5"/>
          <w:sz w:val="32"/>
          <w:szCs w:val="32"/>
          <w:lang w:val="en-US" w:eastAsia="en-US"/>
        </w:rPr>
      </w:pPr>
      <w:r w:rsidRPr="00F318FF">
        <w:rPr>
          <w:rFonts w:eastAsiaTheme="majorEastAsia" w:cs="Times New Roman"/>
          <w:b/>
          <w:bCs/>
          <w:color w:val="345A8A" w:themeColor="accent1" w:themeShade="B5"/>
          <w:sz w:val="32"/>
          <w:szCs w:val="32"/>
          <w:lang w:val="en-US" w:eastAsia="en-US"/>
        </w:rPr>
        <w:lastRenderedPageBreak/>
        <w:t xml:space="preserve">Poster </w:t>
      </w:r>
      <w:r>
        <w:rPr>
          <w:rFonts w:eastAsiaTheme="majorEastAsia" w:cs="Times New Roman"/>
          <w:b/>
          <w:bCs/>
          <w:color w:val="345A8A" w:themeColor="accent1" w:themeShade="B5"/>
          <w:sz w:val="32"/>
          <w:szCs w:val="32"/>
          <w:lang w:val="en-US" w:eastAsia="en-US"/>
        </w:rPr>
        <w:t>12</w:t>
      </w:r>
    </w:p>
    <w:p w:rsidR="00D81FE7" w:rsidRPr="00F318FF" w:rsidRDefault="00D81FE7" w:rsidP="00D81FE7">
      <w:pPr>
        <w:tabs>
          <w:tab w:val="left" w:pos="3360"/>
        </w:tabs>
        <w:rPr>
          <w:rFonts w:eastAsiaTheme="majorEastAsia" w:cs="Times New Roman"/>
          <w:b/>
          <w:bCs/>
          <w:color w:val="345A8A" w:themeColor="accent1" w:themeShade="B5"/>
          <w:sz w:val="32"/>
          <w:szCs w:val="32"/>
          <w:lang w:val="en-US" w:eastAsia="en-US"/>
        </w:rPr>
      </w:pPr>
      <w:r>
        <w:rPr>
          <w:rFonts w:eastAsiaTheme="majorEastAsia" w:cs="Times New Roman"/>
          <w:b/>
          <w:bCs/>
          <w:color w:val="345A8A" w:themeColor="accent1" w:themeShade="B5"/>
          <w:sz w:val="32"/>
          <w:szCs w:val="32"/>
          <w:lang w:val="en-US" w:eastAsia="en-US"/>
        </w:rPr>
        <w:t>Scaffolded</w:t>
      </w:r>
    </w:p>
    <w:p w:rsidR="00D81FE7" w:rsidRPr="00F318FF" w:rsidRDefault="00D81FE7" w:rsidP="00D81FE7">
      <w:pPr>
        <w:pStyle w:val="BodyText"/>
        <w:spacing w:before="75" w:line="276" w:lineRule="auto"/>
        <w:ind w:left="20" w:right="17" w:firstLine="0"/>
        <w:rPr>
          <w:rFonts w:ascii="Arial" w:hAnsi="Arial" w:cs="Arial"/>
          <w:w w:val="95"/>
          <w:sz w:val="22"/>
          <w:szCs w:val="22"/>
        </w:rPr>
      </w:pPr>
      <w:r>
        <w:rPr>
          <w:rFonts w:ascii="Arial" w:hAnsi="Arial" w:cs="Arial"/>
          <w:w w:val="95"/>
          <w:sz w:val="22"/>
          <w:szCs w:val="22"/>
        </w:rPr>
        <w:t>Including such actions as modelling, encouraging, questioning, adding challenges, giving feedback, provide the support needed to extend children’s existing capabilities.  Effective scaffolding by both educators and other children provides active structures to support new learning; it is then progressively withdrawn as learners gain increasing mastery.</w:t>
      </w:r>
    </w:p>
    <w:p w:rsidR="00F318FF" w:rsidRPr="00D81FE7" w:rsidRDefault="00F318FF" w:rsidP="00D81FE7">
      <w:pPr>
        <w:tabs>
          <w:tab w:val="left" w:pos="1230"/>
        </w:tabs>
        <w:rPr>
          <w:lang w:val="en-US"/>
        </w:rPr>
      </w:pPr>
    </w:p>
    <w:sectPr w:rsidR="00F318FF" w:rsidRPr="00D81F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8DD"/>
    <w:multiLevelType w:val="hybridMultilevel"/>
    <w:tmpl w:val="8B92CD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2B"/>
    <w:rsid w:val="00022103"/>
    <w:rsid w:val="0008295F"/>
    <w:rsid w:val="000F4BEC"/>
    <w:rsid w:val="00130DCD"/>
    <w:rsid w:val="002A5880"/>
    <w:rsid w:val="002F15D7"/>
    <w:rsid w:val="003C41B0"/>
    <w:rsid w:val="00490F9C"/>
    <w:rsid w:val="00505029"/>
    <w:rsid w:val="005A2882"/>
    <w:rsid w:val="00814F4A"/>
    <w:rsid w:val="008D52C3"/>
    <w:rsid w:val="00A11097"/>
    <w:rsid w:val="00AD27CB"/>
    <w:rsid w:val="00D81FE7"/>
    <w:rsid w:val="00D86A81"/>
    <w:rsid w:val="00DE2272"/>
    <w:rsid w:val="00E1322B"/>
    <w:rsid w:val="00E578FC"/>
    <w:rsid w:val="00EC2506"/>
    <w:rsid w:val="00F318FF"/>
    <w:rsid w:val="00F44546"/>
    <w:rsid w:val="00F5136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2B"/>
    <w:rPr>
      <w:color w:val="0000FF" w:themeColor="hyperlink"/>
      <w:u w:val="single"/>
    </w:rPr>
  </w:style>
  <w:style w:type="paragraph" w:styleId="ListParagraph">
    <w:name w:val="List Paragraph"/>
    <w:basedOn w:val="Normal"/>
    <w:uiPriority w:val="1"/>
    <w:qFormat/>
    <w:rsid w:val="00F318FF"/>
    <w:pPr>
      <w:widowControl w:val="0"/>
    </w:pPr>
    <w:rPr>
      <w:rFonts w:eastAsiaTheme="minorHAnsi"/>
      <w:lang w:val="en-US" w:eastAsia="en-US"/>
    </w:rPr>
  </w:style>
  <w:style w:type="paragraph" w:styleId="BodyText">
    <w:name w:val="Body Text"/>
    <w:basedOn w:val="Normal"/>
    <w:link w:val="BodyTextChar"/>
    <w:uiPriority w:val="1"/>
    <w:qFormat/>
    <w:rsid w:val="00F318FF"/>
    <w:pPr>
      <w:widowControl w:val="0"/>
      <w:spacing w:before="84"/>
      <w:ind w:left="374" w:hanging="204"/>
    </w:pPr>
    <w:rPr>
      <w:rFonts w:ascii="Trebuchet MS" w:eastAsia="Trebuchet MS" w:hAnsi="Trebuchet MS"/>
      <w:sz w:val="21"/>
      <w:szCs w:val="21"/>
      <w:lang w:val="en-US" w:eastAsia="en-US"/>
    </w:rPr>
  </w:style>
  <w:style w:type="character" w:customStyle="1" w:styleId="BodyTextChar">
    <w:name w:val="Body Text Char"/>
    <w:basedOn w:val="DefaultParagraphFont"/>
    <w:link w:val="BodyText"/>
    <w:uiPriority w:val="1"/>
    <w:rsid w:val="00F318FF"/>
    <w:rPr>
      <w:rFonts w:ascii="Trebuchet MS" w:eastAsia="Trebuchet MS" w:hAnsi="Trebuchet MS"/>
      <w:sz w:val="21"/>
      <w:szCs w:val="2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2B"/>
    <w:rPr>
      <w:color w:val="0000FF" w:themeColor="hyperlink"/>
      <w:u w:val="single"/>
    </w:rPr>
  </w:style>
  <w:style w:type="paragraph" w:styleId="ListParagraph">
    <w:name w:val="List Paragraph"/>
    <w:basedOn w:val="Normal"/>
    <w:uiPriority w:val="1"/>
    <w:qFormat/>
    <w:rsid w:val="00F318FF"/>
    <w:pPr>
      <w:widowControl w:val="0"/>
    </w:pPr>
    <w:rPr>
      <w:rFonts w:eastAsiaTheme="minorHAnsi"/>
      <w:lang w:val="en-US" w:eastAsia="en-US"/>
    </w:rPr>
  </w:style>
  <w:style w:type="paragraph" w:styleId="BodyText">
    <w:name w:val="Body Text"/>
    <w:basedOn w:val="Normal"/>
    <w:link w:val="BodyTextChar"/>
    <w:uiPriority w:val="1"/>
    <w:qFormat/>
    <w:rsid w:val="00F318FF"/>
    <w:pPr>
      <w:widowControl w:val="0"/>
      <w:spacing w:before="84"/>
      <w:ind w:left="374" w:hanging="204"/>
    </w:pPr>
    <w:rPr>
      <w:rFonts w:ascii="Trebuchet MS" w:eastAsia="Trebuchet MS" w:hAnsi="Trebuchet MS"/>
      <w:sz w:val="21"/>
      <w:szCs w:val="21"/>
      <w:lang w:val="en-US" w:eastAsia="en-US"/>
    </w:rPr>
  </w:style>
  <w:style w:type="character" w:customStyle="1" w:styleId="BodyTextChar">
    <w:name w:val="Body Text Char"/>
    <w:basedOn w:val="DefaultParagraphFont"/>
    <w:link w:val="BodyText"/>
    <w:uiPriority w:val="1"/>
    <w:rsid w:val="00F318FF"/>
    <w:rPr>
      <w:rFonts w:ascii="Trebuchet MS" w:eastAsia="Trebuchet MS" w:hAnsi="Trebuchet MS"/>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2023-08-10T23:55:48+00:00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2023-08-10T23:55:48+00:00</PPLastReviewedDate>
    <PPSubmittedDate xmlns="687c0ba5-25f6-467d-a8e9-4285ca7a69ae">2023-08-10T23:55:28+00:00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F8B5169-12C1-463A-BD79-DE4840217A87}"/>
</file>

<file path=customXml/itemProps2.xml><?xml version="1.0" encoding="utf-8"?>
<ds:datastoreItem xmlns:ds="http://schemas.openxmlformats.org/officeDocument/2006/customXml" ds:itemID="{027FB6D9-F849-4D96-8D75-BAC39500EF3B}"/>
</file>

<file path=customXml/itemProps3.xml><?xml version="1.0" encoding="utf-8"?>
<ds:datastoreItem xmlns:ds="http://schemas.openxmlformats.org/officeDocument/2006/customXml" ds:itemID="{78407E01-670C-42F6-AFB3-610373CFE4D0}"/>
</file>

<file path=docProps/app.xml><?xml version="1.0" encoding="utf-8"?>
<Properties xmlns="http://schemas.openxmlformats.org/officeDocument/2006/extended-properties" xmlns:vt="http://schemas.openxmlformats.org/officeDocument/2006/docPropsVTypes">
  <Template>DA2A7BC8.dotm</Template>
  <TotalTime>0</TotalTime>
  <Pages>13</Pages>
  <Words>492</Words>
  <Characters>2807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Age-appropriate pedagogies for the early years of schooling  - Posters</vt:lpstr>
    </vt:vector>
  </TitlesOfParts>
  <Company>Queensland Government</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posters</dc:title>
  <dc:creator>COOPER, Mark</dc:creator>
  <cp:lastModifiedBy>MCINTOSH, Alex</cp:lastModifiedBy>
  <cp:revision>2</cp:revision>
  <dcterms:created xsi:type="dcterms:W3CDTF">2017-07-20T04:53:00Z</dcterms:created>
  <dcterms:modified xsi:type="dcterms:W3CDTF">2017-07-20T04:53:00Z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