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CC1128" w:rsidP="00F70AE5">
            <w:pPr>
              <w:rPr>
                <w:rFonts w:ascii="Arial" w:hAnsi="Arial" w:cs="Arial"/>
                <w:b/>
              </w:rPr>
            </w:pPr>
            <w:r>
              <w:rPr>
                <w:rFonts w:ascii="Arial" w:hAnsi="Arial" w:cs="Arial"/>
                <w:b/>
              </w:rPr>
              <w:t>5</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5B51C9" w:rsidRDefault="00CC1128" w:rsidP="00F70AE5">
            <w:pPr>
              <w:jc w:val="both"/>
              <w:rPr>
                <w:rFonts w:ascii="Arial" w:hAnsi="Arial" w:cs="Arial"/>
                <w:b/>
              </w:rPr>
            </w:pPr>
            <w:r w:rsidRPr="005B51C9">
              <w:rPr>
                <w:rFonts w:ascii="Arial" w:hAnsi="Arial" w:cs="Arial"/>
                <w:b/>
              </w:rPr>
              <w:t>Possum skips breakfast</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5B51C9" w:rsidRPr="005B51C9" w:rsidRDefault="005B51C9" w:rsidP="005B51C9">
            <w:pPr>
              <w:tabs>
                <w:tab w:val="left" w:pos="288"/>
              </w:tabs>
              <w:jc w:val="both"/>
              <w:rPr>
                <w:rFonts w:ascii="Arial" w:hAnsi="Arial" w:cs="Arial"/>
              </w:rPr>
            </w:pPr>
            <w:r w:rsidRPr="005B51C9">
              <w:rPr>
                <w:rFonts w:ascii="Arial" w:hAnsi="Arial" w:cs="Arial"/>
              </w:rPr>
              <w:t>-</w:t>
            </w:r>
            <w:r w:rsidRPr="005B51C9">
              <w:rPr>
                <w:rFonts w:ascii="Arial" w:hAnsi="Arial" w:cs="Arial"/>
              </w:rPr>
              <w:tab/>
              <w:t xml:space="preserve">Health: benefits of eating well - energy, focus </w:t>
            </w:r>
          </w:p>
          <w:p w:rsidR="00F70AE5" w:rsidRPr="003845EB" w:rsidRDefault="005B51C9" w:rsidP="005B51C9">
            <w:pPr>
              <w:tabs>
                <w:tab w:val="left" w:pos="288"/>
              </w:tabs>
              <w:jc w:val="both"/>
              <w:rPr>
                <w:rFonts w:ascii="Arial" w:hAnsi="Arial" w:cs="Arial"/>
                <w:i/>
              </w:rPr>
            </w:pPr>
            <w:r w:rsidRPr="005B51C9">
              <w:rPr>
                <w:rFonts w:ascii="Arial" w:hAnsi="Arial" w:cs="Arial"/>
              </w:rPr>
              <w:t>-</w:t>
            </w:r>
            <w:r w:rsidRPr="005B51C9">
              <w:rPr>
                <w:rFonts w:ascii="Arial" w:hAnsi="Arial" w:cs="Arial"/>
              </w:rPr>
              <w:tab/>
              <w:t>Measurement: cup/spoon</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8B64CF" w:rsidRDefault="00CC1128" w:rsidP="00F70AE5">
            <w:pPr>
              <w:jc w:val="both"/>
              <w:rPr>
                <w:rFonts w:ascii="Arial" w:hAnsi="Arial" w:cs="Arial"/>
              </w:rPr>
            </w:pPr>
            <w:r w:rsidRPr="00CC1128">
              <w:rPr>
                <w:rFonts w:ascii="Arial" w:hAnsi="Arial" w:cs="Arial"/>
              </w:rPr>
              <w:t>Rush, rush, rush. Possum is in such a hurry today, he doesn’t even stop for breakfast. He may run out of energy. What can Skip do to help?</w:t>
            </w:r>
          </w:p>
          <w:p w:rsidR="00CC1128" w:rsidRPr="00936666" w:rsidRDefault="00CC1128"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8B64CF" w:rsidRDefault="00CC1128" w:rsidP="00F70AE5">
            <w:pPr>
              <w:jc w:val="both"/>
              <w:rPr>
                <w:rFonts w:ascii="Arial" w:hAnsi="Arial" w:cs="Arial"/>
              </w:rPr>
            </w:pPr>
            <w:r w:rsidRPr="00CC1128">
              <w:rPr>
                <w:rFonts w:ascii="Arial" w:hAnsi="Arial" w:cs="Arial"/>
              </w:rPr>
              <w:t>Possum is having a very active morning in the garden and is too busy to stop for breakfast. Skip arrives to return Sally’s eggbeater but he is unable to get Possum’s attention. Skip is amused by Possum’s energy as he goes up and down his tree repeatedly. Finally, Skip gains Possum’s attention and they head inside to see Sally. Possum is exhausted and has no energy left. Possum tells Sally and Skip that he had been so busy that he had not had breakfast. Sally explains that breakfast is important in providing you energy for the day and that because Possum skipped breakfast he is now tired because he has already used all of his energy supply. While Sally and Possum watch some children picking fresh food from the garden and preparing a healthy sandwich, Skip goes to collect some ingredients to do some cooking. He returns with the ingredients and recipe fo</w:t>
            </w:r>
            <w:r>
              <w:rPr>
                <w:rFonts w:ascii="Arial" w:hAnsi="Arial" w:cs="Arial"/>
              </w:rPr>
              <w:t>r Possum, Sally and he to make e</w:t>
            </w:r>
            <w:r w:rsidRPr="00CC1128">
              <w:rPr>
                <w:rFonts w:ascii="Arial" w:hAnsi="Arial" w:cs="Arial"/>
              </w:rPr>
              <w:t xml:space="preserve">nergy balls together.  </w:t>
            </w:r>
          </w:p>
          <w:p w:rsidR="00CC1128" w:rsidRPr="00CB334E" w:rsidRDefault="00CC1128"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CC1128" w:rsidRDefault="000D6BAF" w:rsidP="00CC1128">
            <w:pPr>
              <w:pStyle w:val="ListParagraph"/>
              <w:numPr>
                <w:ilvl w:val="0"/>
                <w:numId w:val="9"/>
              </w:numPr>
              <w:jc w:val="both"/>
              <w:rPr>
                <w:rFonts w:ascii="Arial" w:hAnsi="Arial" w:cs="Arial"/>
              </w:rPr>
            </w:pPr>
            <w:r>
              <w:rPr>
                <w:rFonts w:ascii="Arial" w:hAnsi="Arial" w:cs="Arial"/>
              </w:rPr>
              <w:t>Making healthy E</w:t>
            </w:r>
            <w:bookmarkStart w:id="0" w:name="_GoBack"/>
            <w:bookmarkEnd w:id="0"/>
            <w:r w:rsidR="00CC1128" w:rsidRPr="00CC1128">
              <w:rPr>
                <w:rFonts w:ascii="Arial" w:hAnsi="Arial" w:cs="Arial"/>
              </w:rPr>
              <w:t>nergy balls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CC1128" w:rsidP="00F70AE5">
            <w:pPr>
              <w:jc w:val="both"/>
              <w:rPr>
                <w:rFonts w:ascii="Arial" w:hAnsi="Arial" w:cs="Arial"/>
              </w:rPr>
            </w:pPr>
            <w:r w:rsidRPr="00CC1128">
              <w:rPr>
                <w:rFonts w:ascii="Arial" w:hAnsi="Arial" w:cs="Arial"/>
              </w:rPr>
              <w:t>Children collect food from the garden and make healthy sandwiches to eat.</w:t>
            </w:r>
          </w:p>
        </w:tc>
      </w:tr>
      <w:tr w:rsidR="00696DEF" w:rsidRPr="00DD638D"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DD638D" w:rsidRDefault="00CC1128" w:rsidP="00F70AE5">
            <w:pPr>
              <w:jc w:val="both"/>
              <w:rPr>
                <w:rFonts w:ascii="Arial" w:hAnsi="Arial" w:cs="Arial"/>
                <w:lang w:val="de-DE"/>
              </w:rPr>
            </w:pPr>
            <w:r w:rsidRPr="00DD638D">
              <w:rPr>
                <w:rFonts w:ascii="Arial" w:hAnsi="Arial" w:cs="Arial"/>
                <w:lang w:val="de-DE"/>
              </w:rPr>
              <w:t>T-I-R-E-D, E-N-E-R-G-Y</w:t>
            </w:r>
          </w:p>
        </w:tc>
      </w:tr>
      <w:tr w:rsidR="00CC1128" w:rsidRPr="004C50A8" w:rsidTr="00E1060E">
        <w:trPr>
          <w:trHeight w:val="236"/>
        </w:trPr>
        <w:tc>
          <w:tcPr>
            <w:tcW w:w="2972" w:type="dxa"/>
            <w:shd w:val="clear" w:color="auto" w:fill="FAEDFE"/>
          </w:tcPr>
          <w:p w:rsidR="00CC1128" w:rsidRPr="00A14D11" w:rsidRDefault="00CC1128"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CC1128" w:rsidRPr="00CC1128" w:rsidRDefault="00DD638D" w:rsidP="00F70AE5">
            <w:pPr>
              <w:jc w:val="both"/>
              <w:rPr>
                <w:rFonts w:ascii="Arial" w:hAnsi="Arial" w:cs="Arial"/>
              </w:rPr>
            </w:pPr>
            <w:r>
              <w:rPr>
                <w:rFonts w:ascii="Arial" w:hAnsi="Arial" w:cs="Arial"/>
              </w:rPr>
              <w:t>‘</w:t>
            </w:r>
            <w:r w:rsidR="00CC1128">
              <w:rPr>
                <w:rFonts w:ascii="Arial" w:hAnsi="Arial" w:cs="Arial"/>
              </w:rPr>
              <w:t>Energy ball</w:t>
            </w:r>
            <w:r>
              <w:rPr>
                <w:rFonts w:ascii="Arial" w:hAnsi="Arial" w:cs="Arial"/>
              </w:rPr>
              <w:t>’</w:t>
            </w:r>
            <w:r w:rsidR="00CC1128">
              <w:rPr>
                <w:rFonts w:ascii="Arial" w:hAnsi="Arial" w:cs="Arial"/>
              </w:rPr>
              <w:t xml:space="preserve"> recipe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CC1128" w:rsidRPr="00DD638D" w:rsidRDefault="00CC1128" w:rsidP="00CC1128">
            <w:pPr>
              <w:jc w:val="both"/>
              <w:rPr>
                <w:rFonts w:ascii="Arial" w:hAnsi="Arial" w:cs="Arial"/>
                <w:b/>
              </w:rPr>
            </w:pPr>
            <w:r w:rsidRPr="00DD638D">
              <w:rPr>
                <w:rFonts w:ascii="Arial" w:hAnsi="Arial" w:cs="Arial"/>
                <w:b/>
              </w:rPr>
              <w:t xml:space="preserve">Children have a strong sense of wellbeing </w:t>
            </w:r>
          </w:p>
          <w:p w:rsidR="00CC1128" w:rsidRPr="00DD638D" w:rsidRDefault="00CC1128" w:rsidP="00CC1128">
            <w:pPr>
              <w:pStyle w:val="ListParagraph"/>
              <w:numPr>
                <w:ilvl w:val="0"/>
                <w:numId w:val="8"/>
              </w:numPr>
              <w:jc w:val="both"/>
              <w:rPr>
                <w:rFonts w:ascii="Arial" w:hAnsi="Arial" w:cs="Arial"/>
                <w:b/>
              </w:rPr>
            </w:pPr>
            <w:r w:rsidRPr="00DD638D">
              <w:rPr>
                <w:rFonts w:ascii="Arial" w:hAnsi="Arial" w:cs="Arial"/>
              </w:rPr>
              <w:t xml:space="preserve">Children take increasing responsibility for their own health and physical wellbeing </w:t>
            </w:r>
          </w:p>
          <w:p w:rsidR="00AB3788" w:rsidRPr="00DD638D" w:rsidRDefault="00CC1128" w:rsidP="00CC1128">
            <w:pPr>
              <w:jc w:val="both"/>
              <w:rPr>
                <w:rFonts w:ascii="Arial" w:hAnsi="Arial" w:cs="Arial"/>
                <w:b/>
              </w:rPr>
            </w:pPr>
            <w:r w:rsidRPr="00DD638D">
              <w:rPr>
                <w:rFonts w:ascii="Arial" w:hAnsi="Arial" w:cs="Arial"/>
                <w:b/>
              </w:rPr>
              <w:t xml:space="preserve">Children have a strong sense of identity </w:t>
            </w:r>
          </w:p>
          <w:p w:rsidR="005639FC" w:rsidRPr="00D63EB7" w:rsidRDefault="00CC1128" w:rsidP="00CC1128">
            <w:pPr>
              <w:pStyle w:val="ListParagraph"/>
              <w:numPr>
                <w:ilvl w:val="0"/>
                <w:numId w:val="8"/>
              </w:numPr>
              <w:rPr>
                <w:rFonts w:ascii="Londrina Solid" w:hAnsi="Londrina Solid"/>
                <w:b/>
                <w:sz w:val="26"/>
                <w:szCs w:val="26"/>
              </w:rPr>
            </w:pPr>
            <w:r w:rsidRPr="00DD638D">
              <w:rPr>
                <w:rFonts w:ascii="Arial" w:hAnsi="Arial" w:cs="Arial"/>
              </w:rPr>
              <w:t>Children feel safe, secure, and supported</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C636C2" w:rsidRPr="00DD638D" w:rsidRDefault="00CC1128" w:rsidP="00C636C2">
            <w:pPr>
              <w:rPr>
                <w:rFonts w:ascii="Arial" w:hAnsi="Arial" w:cs="Arial"/>
                <w:b/>
              </w:rPr>
            </w:pPr>
            <w:r w:rsidRPr="00DD638D">
              <w:rPr>
                <w:rFonts w:ascii="Arial" w:hAnsi="Arial" w:cs="Arial"/>
                <w:b/>
              </w:rPr>
              <w:t xml:space="preserve">Wellbeing </w:t>
            </w:r>
          </w:p>
          <w:p w:rsidR="00CC1128" w:rsidRPr="00DD638D" w:rsidRDefault="00DD638D" w:rsidP="00CC1128">
            <w:pPr>
              <w:pStyle w:val="ListParagraph"/>
              <w:numPr>
                <w:ilvl w:val="0"/>
                <w:numId w:val="8"/>
              </w:numPr>
              <w:rPr>
                <w:rFonts w:ascii="Arial" w:hAnsi="Arial" w:cs="Arial"/>
                <w:b/>
              </w:rPr>
            </w:pPr>
            <w:r w:rsidRPr="00DD638D">
              <w:rPr>
                <w:rFonts w:ascii="Arial" w:hAnsi="Arial" w:cs="Arial"/>
              </w:rPr>
              <w:t xml:space="preserve">Exploring ways to be healthy and safe </w:t>
            </w:r>
            <w:r w:rsidR="00CC1128" w:rsidRPr="00DD638D">
              <w:rPr>
                <w:rFonts w:ascii="Arial" w:hAnsi="Arial" w:cs="Arial"/>
              </w:rPr>
              <w:t xml:space="preserve"> </w:t>
            </w:r>
          </w:p>
          <w:p w:rsidR="00C636C2" w:rsidRPr="00DD638D" w:rsidRDefault="00CC1128" w:rsidP="00CC1128">
            <w:pPr>
              <w:rPr>
                <w:rFonts w:ascii="Arial" w:hAnsi="Arial" w:cs="Arial"/>
                <w:b/>
              </w:rPr>
            </w:pPr>
            <w:r w:rsidRPr="00DD638D">
              <w:rPr>
                <w:rFonts w:ascii="Arial" w:hAnsi="Arial" w:cs="Arial"/>
                <w:b/>
              </w:rPr>
              <w:t xml:space="preserve">Identity </w:t>
            </w:r>
          </w:p>
          <w:p w:rsidR="005227D6" w:rsidRPr="00C636C2" w:rsidRDefault="00CC1128" w:rsidP="00CC1128">
            <w:pPr>
              <w:pStyle w:val="ListParagraph"/>
              <w:numPr>
                <w:ilvl w:val="0"/>
                <w:numId w:val="8"/>
              </w:numPr>
              <w:jc w:val="both"/>
              <w:rPr>
                <w:rFonts w:ascii="GillSansMT" w:hAnsi="GillSansMT" w:cs="GillSansMT"/>
              </w:rPr>
            </w:pPr>
            <w:r w:rsidRPr="00DD638D">
              <w:rPr>
                <w:rFonts w:ascii="Arial" w:hAnsi="Arial" w:cs="Arial"/>
              </w:rPr>
              <w:t>Building a sense of security and trust</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CC1128" w:rsidRPr="005B51C9" w:rsidRDefault="00CC1128" w:rsidP="00CC1128">
            <w:pPr>
              <w:rPr>
                <w:rFonts w:ascii="Arial" w:hAnsi="Arial" w:cs="Arial"/>
                <w:b/>
              </w:rPr>
            </w:pPr>
            <w:r>
              <w:rPr>
                <w:rFonts w:ascii="Arial" w:hAnsi="Arial" w:cs="Arial"/>
                <w:b/>
              </w:rPr>
              <w:t xml:space="preserve">Health and Physical Education - </w:t>
            </w:r>
            <w:r w:rsidRPr="005B51C9">
              <w:rPr>
                <w:rFonts w:ascii="Arial" w:hAnsi="Arial" w:cs="Arial"/>
                <w:b/>
              </w:rPr>
              <w:t>Personal, Social and Community Health</w:t>
            </w:r>
          </w:p>
          <w:p w:rsidR="005D0509" w:rsidRDefault="00CC1128" w:rsidP="00CC1128">
            <w:pPr>
              <w:pStyle w:val="ListParagraph"/>
              <w:numPr>
                <w:ilvl w:val="0"/>
                <w:numId w:val="8"/>
              </w:numPr>
              <w:rPr>
                <w:rFonts w:ascii="Arial" w:hAnsi="Arial" w:cs="Arial"/>
              </w:rPr>
            </w:pPr>
            <w:r w:rsidRPr="00CC1128">
              <w:rPr>
                <w:rFonts w:ascii="Arial" w:hAnsi="Arial" w:cs="Arial"/>
              </w:rPr>
              <w:t>Being healthy, safe and active</w:t>
            </w:r>
          </w:p>
          <w:p w:rsidR="00CC1128" w:rsidRPr="00CC1128" w:rsidRDefault="00CC1128" w:rsidP="00CC1128">
            <w:pPr>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8E" w:rsidRDefault="00F23B8E" w:rsidP="00CA345F">
      <w:pPr>
        <w:spacing w:after="0" w:line="240" w:lineRule="auto"/>
      </w:pPr>
      <w:r>
        <w:separator/>
      </w:r>
    </w:p>
  </w:endnote>
  <w:endnote w:type="continuationSeparator" w:id="0">
    <w:p w:rsidR="00F23B8E" w:rsidRDefault="00F23B8E"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8E" w:rsidRDefault="00F23B8E" w:rsidP="00CA345F">
      <w:pPr>
        <w:spacing w:after="0" w:line="240" w:lineRule="auto"/>
      </w:pPr>
      <w:r>
        <w:separator/>
      </w:r>
    </w:p>
  </w:footnote>
  <w:footnote w:type="continuationSeparator" w:id="0">
    <w:p w:rsidR="00F23B8E" w:rsidRDefault="00F23B8E"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CC1128">
      <w:rPr>
        <w:rFonts w:ascii="Londrina Solid Black" w:hAnsi="Londrina Solid Black"/>
        <w:b/>
        <w:color w:val="97467F"/>
        <w:sz w:val="26"/>
        <w:szCs w:val="26"/>
      </w:rPr>
      <w:t>, EPISODE 5</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B92ADA"/>
    <w:multiLevelType w:val="hybridMultilevel"/>
    <w:tmpl w:val="A5ECEB28"/>
    <w:lvl w:ilvl="0" w:tplc="4510E0C6">
      <w:start w:val="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0D6BAF"/>
    <w:rsid w:val="00274640"/>
    <w:rsid w:val="002D6E6F"/>
    <w:rsid w:val="00356E88"/>
    <w:rsid w:val="003845EB"/>
    <w:rsid w:val="00411431"/>
    <w:rsid w:val="00416A82"/>
    <w:rsid w:val="00456F57"/>
    <w:rsid w:val="005227D6"/>
    <w:rsid w:val="00541A0E"/>
    <w:rsid w:val="005639FC"/>
    <w:rsid w:val="005B51C9"/>
    <w:rsid w:val="005D0509"/>
    <w:rsid w:val="006622C0"/>
    <w:rsid w:val="00696DEF"/>
    <w:rsid w:val="006B3591"/>
    <w:rsid w:val="006B6173"/>
    <w:rsid w:val="007F3551"/>
    <w:rsid w:val="008B64CF"/>
    <w:rsid w:val="00936666"/>
    <w:rsid w:val="00985E95"/>
    <w:rsid w:val="009C3BEE"/>
    <w:rsid w:val="009D02C4"/>
    <w:rsid w:val="00A14D11"/>
    <w:rsid w:val="00AB3788"/>
    <w:rsid w:val="00BF2A9C"/>
    <w:rsid w:val="00C636C2"/>
    <w:rsid w:val="00CA2702"/>
    <w:rsid w:val="00CA345F"/>
    <w:rsid w:val="00CB334E"/>
    <w:rsid w:val="00CC1128"/>
    <w:rsid w:val="00D50F97"/>
    <w:rsid w:val="00D63EB7"/>
    <w:rsid w:val="00D97A24"/>
    <w:rsid w:val="00DD3824"/>
    <w:rsid w:val="00DD638D"/>
    <w:rsid w:val="00E1060E"/>
    <w:rsid w:val="00E44889"/>
    <w:rsid w:val="00F23B8E"/>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218F1"/>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2023-08-10T23:06:24+00:00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2023-08-10T23:06:24+00:00</PPLastReviewedDate>
    <PPSubmittedDate xmlns="687c0ba5-25f6-467d-a8e9-4285ca7a69ae">2023-08-10T23:05:49+00:00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C84AB50C-FC15-4138-A893-721ECB98B27B}"/>
</file>

<file path=customXml/itemProps2.xml><?xml version="1.0" encoding="utf-8"?>
<ds:datastoreItem xmlns:ds="http://schemas.openxmlformats.org/officeDocument/2006/customXml" ds:itemID="{C005D811-EB39-4BDB-B41C-EAA7A324B12F}"/>
</file>

<file path=customXml/itemProps3.xml><?xml version="1.0" encoding="utf-8"?>
<ds:datastoreItem xmlns:ds="http://schemas.openxmlformats.org/officeDocument/2006/customXml" ds:itemID="{9D1300A2-743E-417C-A20C-E110B1CCC7B1}"/>
</file>

<file path=docProps/app.xml><?xml version="1.0" encoding="utf-8"?>
<Properties xmlns="http://schemas.openxmlformats.org/officeDocument/2006/extended-properties" xmlns:vt="http://schemas.openxmlformats.org/officeDocument/2006/docPropsVTypes">
  <Template>Normal.dotm</Template>
  <TotalTime>4</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5 summary</dc:title>
  <dc:subject>Season 5 episode 5 summary</dc:subject>
  <dc:creator>Queensland Government</dc:creator>
  <cp:keywords>Season 5; episode 5; summary; Sally and Possum</cp:keywords>
  <dc:description/>
  <cp:lastModifiedBy>HIGGS, Jessica</cp:lastModifiedBy>
  <cp:revision>5</cp:revision>
  <cp:lastPrinted>2019-11-07T05:18:00Z</cp:lastPrinted>
  <dcterms:created xsi:type="dcterms:W3CDTF">2019-11-12T04:46:00Z</dcterms:created>
  <dcterms:modified xsi:type="dcterms:W3CDTF">2019-11-18T00:15:00Z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